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2D8" w:rsidRPr="001E17A5" w:rsidRDefault="00C672D8" w:rsidP="00C672D8">
      <w:pPr>
        <w:pStyle w:val="BodyTextIndent3"/>
        <w:spacing w:after="60"/>
        <w:ind w:firstLine="0"/>
        <w:jc w:val="center"/>
        <w:rPr>
          <w:b/>
          <w:sz w:val="26"/>
          <w:lang w:val="en-US"/>
        </w:rPr>
      </w:pPr>
      <w:r w:rsidRPr="001E17A5">
        <w:rPr>
          <w:b/>
          <w:sz w:val="26"/>
          <w:lang w:val="vi-VN"/>
        </w:rPr>
        <w:t>Phụ lục I</w:t>
      </w:r>
    </w:p>
    <w:p w:rsidR="00C672D8" w:rsidRPr="001E17A5" w:rsidRDefault="00782213" w:rsidP="009807B4">
      <w:pPr>
        <w:jc w:val="center"/>
        <w:rPr>
          <w:b/>
          <w:sz w:val="26"/>
          <w:lang w:val="vi-VN"/>
        </w:rPr>
      </w:pPr>
      <w:r w:rsidRPr="001E17A5">
        <w:rPr>
          <w:b/>
          <w:sz w:val="26"/>
          <w:szCs w:val="16"/>
        </w:rPr>
        <w:t>TIẾN ĐỘ CÁC</w:t>
      </w:r>
      <w:r w:rsidR="009807B4" w:rsidRPr="001E17A5">
        <w:rPr>
          <w:b/>
          <w:sz w:val="26"/>
          <w:szCs w:val="16"/>
        </w:rPr>
        <w:t xml:space="preserve"> VĂN BẢN, QUY ĐỊNH SỞ THAM MƯU XÂY DỰNG</w:t>
      </w:r>
      <w:r w:rsidR="009807B4" w:rsidRPr="001E17A5">
        <w:rPr>
          <w:b/>
          <w:sz w:val="26"/>
          <w:lang w:val="vi-VN"/>
        </w:rPr>
        <w:t xml:space="preserve"> </w:t>
      </w:r>
      <w:r w:rsidR="00AE6C20" w:rsidRPr="001E17A5">
        <w:rPr>
          <w:b/>
          <w:sz w:val="26"/>
          <w:lang w:val="vi-VN"/>
        </w:rPr>
        <w:t xml:space="preserve">NĂM </w:t>
      </w:r>
      <w:r w:rsidR="00C672D8" w:rsidRPr="001E17A5">
        <w:rPr>
          <w:b/>
          <w:sz w:val="26"/>
          <w:lang w:val="vi-VN"/>
        </w:rPr>
        <w:t>2</w:t>
      </w:r>
      <w:r w:rsidR="007F1BF2" w:rsidRPr="001E17A5">
        <w:rPr>
          <w:b/>
          <w:sz w:val="26"/>
          <w:lang w:val="vi-VN"/>
        </w:rPr>
        <w:t>022</w:t>
      </w:r>
    </w:p>
    <w:p w:rsidR="006F2B0F" w:rsidRPr="00156B94" w:rsidRDefault="006F2B0F" w:rsidP="009807B4">
      <w:pPr>
        <w:jc w:val="center"/>
        <w:rPr>
          <w:i/>
          <w:sz w:val="26"/>
        </w:rPr>
      </w:pPr>
      <w:bookmarkStart w:id="0" w:name="_GoBack"/>
      <w:r w:rsidRPr="00156B94">
        <w:rPr>
          <w:i/>
          <w:sz w:val="26"/>
        </w:rPr>
        <w:t xml:space="preserve">Tính đến ngày </w:t>
      </w:r>
      <w:r w:rsidR="00A679E3" w:rsidRPr="00156B94">
        <w:rPr>
          <w:i/>
          <w:sz w:val="26"/>
        </w:rPr>
        <w:t>30</w:t>
      </w:r>
      <w:r w:rsidRPr="00156B94">
        <w:rPr>
          <w:i/>
          <w:sz w:val="26"/>
        </w:rPr>
        <w:t>/</w:t>
      </w:r>
      <w:r w:rsidR="00774ED7" w:rsidRPr="00156B94">
        <w:rPr>
          <w:i/>
          <w:sz w:val="26"/>
        </w:rPr>
        <w:t>11</w:t>
      </w:r>
      <w:r w:rsidRPr="00156B94">
        <w:rPr>
          <w:i/>
          <w:sz w:val="26"/>
        </w:rPr>
        <w:t>/2022</w:t>
      </w:r>
    </w:p>
    <w:bookmarkEnd w:id="0"/>
    <w:p w:rsidR="00F849CA" w:rsidRPr="001E17A5" w:rsidRDefault="00F849CA" w:rsidP="00F849CA">
      <w:pPr>
        <w:spacing w:line="240" w:lineRule="atLeast"/>
        <w:jc w:val="center"/>
        <w:rPr>
          <w:i/>
          <w:spacing w:val="2"/>
          <w:sz w:val="22"/>
          <w:szCs w:val="26"/>
          <w:lang w:val="vi-VN" w:eastAsia="es-ES_tradnl"/>
        </w:rPr>
      </w:pPr>
      <w:r w:rsidRPr="001E17A5">
        <w:rPr>
          <w:i/>
          <w:sz w:val="24"/>
          <w:szCs w:val="26"/>
          <w:lang w:val="vi-VN"/>
        </w:rPr>
        <w:t>(Đính kèm Báo cáo số            /BC-STNMT ngày   /    /</w:t>
      </w:r>
      <w:r w:rsidR="007F1BF2" w:rsidRPr="001E17A5">
        <w:rPr>
          <w:i/>
          <w:sz w:val="24"/>
          <w:szCs w:val="26"/>
          <w:lang w:val="vi-VN"/>
        </w:rPr>
        <w:t>2022</w:t>
      </w:r>
      <w:r w:rsidRPr="001E17A5">
        <w:rPr>
          <w:i/>
          <w:sz w:val="24"/>
          <w:szCs w:val="26"/>
          <w:lang w:val="vi-VN"/>
        </w:rPr>
        <w:t xml:space="preserve"> của Sở Tài nguyên và Môi trường</w:t>
      </w:r>
      <w:r w:rsidR="007F1BF2" w:rsidRPr="001E17A5">
        <w:rPr>
          <w:i/>
          <w:sz w:val="24"/>
          <w:szCs w:val="26"/>
          <w:lang w:val="vi-VN"/>
        </w:rPr>
        <w:t xml:space="preserve"> </w:t>
      </w:r>
      <w:r w:rsidRPr="001E17A5">
        <w:rPr>
          <w:i/>
          <w:sz w:val="24"/>
          <w:szCs w:val="26"/>
          <w:lang w:val="vi-VN"/>
        </w:rPr>
        <w:t>tỉnh Bình Dương)</w:t>
      </w:r>
    </w:p>
    <w:p w:rsidR="00C77FB0" w:rsidRPr="001E17A5" w:rsidRDefault="00C77FB0" w:rsidP="009239DE">
      <w:pPr>
        <w:rPr>
          <w:b/>
          <w:sz w:val="18"/>
          <w:szCs w:val="16"/>
        </w:rPr>
      </w:pPr>
    </w:p>
    <w:p w:rsidR="009239DE" w:rsidRPr="001E17A5" w:rsidRDefault="009239DE" w:rsidP="009239DE">
      <w:pPr>
        <w:rPr>
          <w:lang w:val="vi-VN" w:eastAsia="x-none"/>
        </w:rPr>
      </w:pPr>
    </w:p>
    <w:tbl>
      <w:tblPr>
        <w:tblStyle w:val="TableGrid"/>
        <w:tblW w:w="0" w:type="auto"/>
        <w:tblInd w:w="817" w:type="dxa"/>
        <w:tblLook w:val="04A0" w:firstRow="1" w:lastRow="0" w:firstColumn="1" w:lastColumn="0" w:noHBand="0" w:noVBand="1"/>
      </w:tblPr>
      <w:tblGrid>
        <w:gridCol w:w="709"/>
        <w:gridCol w:w="5103"/>
        <w:gridCol w:w="1843"/>
        <w:gridCol w:w="3969"/>
        <w:gridCol w:w="2268"/>
      </w:tblGrid>
      <w:tr w:rsidR="001E17A5" w:rsidRPr="001E17A5" w:rsidTr="00571A5C">
        <w:trPr>
          <w:trHeight w:val="664"/>
        </w:trPr>
        <w:tc>
          <w:tcPr>
            <w:tcW w:w="709" w:type="dxa"/>
            <w:vMerge w:val="restart"/>
          </w:tcPr>
          <w:p w:rsidR="007F1BF2" w:rsidRPr="001E17A5" w:rsidRDefault="007F1BF2" w:rsidP="00B15E99">
            <w:pPr>
              <w:spacing w:before="120"/>
              <w:jc w:val="both"/>
              <w:rPr>
                <w:b/>
                <w:sz w:val="24"/>
                <w:szCs w:val="24"/>
                <w:lang w:val="vi-VN"/>
              </w:rPr>
            </w:pPr>
            <w:r w:rsidRPr="001E17A5">
              <w:rPr>
                <w:b/>
                <w:sz w:val="24"/>
                <w:szCs w:val="24"/>
                <w:lang w:val="vi-VN"/>
              </w:rPr>
              <w:t>STT</w:t>
            </w:r>
          </w:p>
        </w:tc>
        <w:tc>
          <w:tcPr>
            <w:tcW w:w="5103" w:type="dxa"/>
            <w:vMerge w:val="restart"/>
          </w:tcPr>
          <w:p w:rsidR="007F1BF2" w:rsidRPr="001E17A5" w:rsidRDefault="00E26D32" w:rsidP="00B15E99">
            <w:pPr>
              <w:spacing w:before="120"/>
              <w:jc w:val="both"/>
              <w:rPr>
                <w:b/>
                <w:sz w:val="24"/>
                <w:szCs w:val="24"/>
                <w:lang w:val="vi-VN"/>
              </w:rPr>
            </w:pPr>
            <w:r w:rsidRPr="001E17A5">
              <w:rPr>
                <w:b/>
                <w:sz w:val="24"/>
                <w:szCs w:val="24"/>
                <w:lang w:val="vi-VN"/>
              </w:rPr>
              <w:t>TÊN QUY ĐỊNH</w:t>
            </w:r>
          </w:p>
        </w:tc>
        <w:tc>
          <w:tcPr>
            <w:tcW w:w="5812" w:type="dxa"/>
            <w:gridSpan w:val="2"/>
          </w:tcPr>
          <w:p w:rsidR="007F1BF2" w:rsidRPr="001E17A5" w:rsidRDefault="007F1BF2" w:rsidP="002910EA">
            <w:pPr>
              <w:spacing w:before="120"/>
              <w:jc w:val="center"/>
              <w:rPr>
                <w:b/>
                <w:sz w:val="24"/>
                <w:szCs w:val="24"/>
                <w:lang w:val="vi-VN"/>
              </w:rPr>
            </w:pPr>
            <w:r w:rsidRPr="001E17A5">
              <w:rPr>
                <w:b/>
                <w:sz w:val="24"/>
                <w:szCs w:val="24"/>
                <w:lang w:val="vi-VN"/>
              </w:rPr>
              <w:t>TÌNH HÌNH THỰC HIỆN</w:t>
            </w:r>
          </w:p>
        </w:tc>
        <w:tc>
          <w:tcPr>
            <w:tcW w:w="2268" w:type="dxa"/>
            <w:vMerge w:val="restart"/>
          </w:tcPr>
          <w:p w:rsidR="007F1BF2" w:rsidRPr="001E17A5" w:rsidRDefault="00E26D32" w:rsidP="00B15E99">
            <w:pPr>
              <w:spacing w:before="120"/>
              <w:jc w:val="both"/>
              <w:rPr>
                <w:b/>
                <w:sz w:val="24"/>
                <w:szCs w:val="24"/>
                <w:lang w:val="vi-VN"/>
              </w:rPr>
            </w:pPr>
            <w:r w:rsidRPr="001E17A5">
              <w:rPr>
                <w:b/>
                <w:sz w:val="24"/>
                <w:szCs w:val="24"/>
                <w:lang w:val="vi-VN"/>
              </w:rPr>
              <w:t>GHI CHÚ</w:t>
            </w:r>
          </w:p>
        </w:tc>
      </w:tr>
      <w:tr w:rsidR="001E17A5" w:rsidRPr="001E17A5" w:rsidTr="00571A5C">
        <w:trPr>
          <w:trHeight w:val="664"/>
        </w:trPr>
        <w:tc>
          <w:tcPr>
            <w:tcW w:w="709" w:type="dxa"/>
            <w:vMerge/>
          </w:tcPr>
          <w:p w:rsidR="007F1BF2" w:rsidRPr="001E17A5" w:rsidRDefault="007F1BF2" w:rsidP="00B15E99">
            <w:pPr>
              <w:spacing w:before="120"/>
              <w:jc w:val="both"/>
              <w:rPr>
                <w:b/>
                <w:sz w:val="24"/>
                <w:szCs w:val="24"/>
                <w:lang w:val="vi-VN"/>
              </w:rPr>
            </w:pPr>
          </w:p>
        </w:tc>
        <w:tc>
          <w:tcPr>
            <w:tcW w:w="5103" w:type="dxa"/>
            <w:vMerge/>
          </w:tcPr>
          <w:p w:rsidR="007F1BF2" w:rsidRPr="001E17A5" w:rsidRDefault="007F1BF2" w:rsidP="00B15E99">
            <w:pPr>
              <w:spacing w:before="120"/>
              <w:jc w:val="both"/>
              <w:rPr>
                <w:b/>
                <w:sz w:val="24"/>
                <w:szCs w:val="24"/>
                <w:lang w:val="vi-VN"/>
              </w:rPr>
            </w:pPr>
          </w:p>
        </w:tc>
        <w:tc>
          <w:tcPr>
            <w:tcW w:w="1843" w:type="dxa"/>
          </w:tcPr>
          <w:p w:rsidR="007F1BF2" w:rsidRPr="001E17A5" w:rsidRDefault="007F1BF2" w:rsidP="007F1BF2">
            <w:pPr>
              <w:spacing w:before="120"/>
              <w:jc w:val="center"/>
              <w:rPr>
                <w:b/>
                <w:sz w:val="24"/>
                <w:szCs w:val="24"/>
                <w:lang w:val="vi-VN"/>
              </w:rPr>
            </w:pPr>
            <w:r w:rsidRPr="001E17A5">
              <w:rPr>
                <w:b/>
                <w:sz w:val="24"/>
                <w:szCs w:val="24"/>
                <w:lang w:val="vi-VN"/>
              </w:rPr>
              <w:t>Đã tham mưu ban hành</w:t>
            </w:r>
          </w:p>
        </w:tc>
        <w:tc>
          <w:tcPr>
            <w:tcW w:w="3969" w:type="dxa"/>
          </w:tcPr>
          <w:p w:rsidR="007F1BF2" w:rsidRPr="001E17A5" w:rsidRDefault="007F1BF2" w:rsidP="007F1BF2">
            <w:pPr>
              <w:spacing w:before="120"/>
              <w:jc w:val="center"/>
              <w:rPr>
                <w:b/>
                <w:sz w:val="24"/>
                <w:szCs w:val="24"/>
                <w:lang w:val="vi-VN"/>
              </w:rPr>
            </w:pPr>
            <w:r w:rsidRPr="001E17A5">
              <w:rPr>
                <w:b/>
                <w:sz w:val="24"/>
                <w:szCs w:val="24"/>
                <w:lang w:val="vi-VN"/>
              </w:rPr>
              <w:t>Đang tham mưu</w:t>
            </w:r>
          </w:p>
        </w:tc>
        <w:tc>
          <w:tcPr>
            <w:tcW w:w="2268" w:type="dxa"/>
            <w:vMerge/>
          </w:tcPr>
          <w:p w:rsidR="007F1BF2" w:rsidRPr="001E17A5" w:rsidRDefault="007F1BF2" w:rsidP="00B15E99">
            <w:pPr>
              <w:spacing w:before="120"/>
              <w:jc w:val="both"/>
              <w:rPr>
                <w:b/>
                <w:sz w:val="24"/>
                <w:szCs w:val="24"/>
                <w:lang w:val="vi-VN"/>
              </w:rPr>
            </w:pPr>
          </w:p>
        </w:tc>
      </w:tr>
      <w:tr w:rsidR="001E17A5" w:rsidRPr="001E17A5" w:rsidTr="00365942">
        <w:trPr>
          <w:trHeight w:val="420"/>
        </w:trPr>
        <w:tc>
          <w:tcPr>
            <w:tcW w:w="13892" w:type="dxa"/>
            <w:gridSpan w:val="5"/>
          </w:tcPr>
          <w:p w:rsidR="007F1BF2" w:rsidRPr="001E17A5" w:rsidRDefault="007F1BF2" w:rsidP="00B15E99">
            <w:pPr>
              <w:spacing w:before="120"/>
              <w:jc w:val="both"/>
              <w:rPr>
                <w:b/>
                <w:sz w:val="24"/>
                <w:szCs w:val="24"/>
                <w:lang w:val="vi-VN"/>
              </w:rPr>
            </w:pPr>
            <w:r w:rsidRPr="001E17A5">
              <w:rPr>
                <w:b/>
                <w:sz w:val="24"/>
                <w:szCs w:val="24"/>
                <w:lang w:val="vi-VN"/>
              </w:rPr>
              <w:t>A. LĨNH VỰC ĐẤT ĐAI</w:t>
            </w:r>
          </w:p>
        </w:tc>
      </w:tr>
      <w:tr w:rsidR="001E17A5" w:rsidRPr="001E17A5" w:rsidTr="00571A5C">
        <w:tc>
          <w:tcPr>
            <w:tcW w:w="709" w:type="dxa"/>
          </w:tcPr>
          <w:p w:rsidR="007F1BF2" w:rsidRPr="001E17A5" w:rsidRDefault="007F1BF2" w:rsidP="007F1BF2">
            <w:pPr>
              <w:jc w:val="both"/>
              <w:rPr>
                <w:sz w:val="24"/>
                <w:szCs w:val="24"/>
                <w:lang w:val="vi-VN"/>
              </w:rPr>
            </w:pPr>
            <w:r w:rsidRPr="001E17A5">
              <w:rPr>
                <w:sz w:val="24"/>
                <w:szCs w:val="24"/>
                <w:lang w:val="vi-VN"/>
              </w:rPr>
              <w:t>1</w:t>
            </w:r>
          </w:p>
        </w:tc>
        <w:tc>
          <w:tcPr>
            <w:tcW w:w="5103" w:type="dxa"/>
          </w:tcPr>
          <w:p w:rsidR="007F1BF2" w:rsidRPr="001E17A5" w:rsidRDefault="007F1BF2" w:rsidP="007F1BF2">
            <w:pPr>
              <w:pStyle w:val="NormalWeb"/>
              <w:jc w:val="both"/>
              <w:rPr>
                <w:lang w:val="vi-VN" w:eastAsia="en-US"/>
              </w:rPr>
            </w:pPr>
            <w:r w:rsidRPr="001E17A5">
              <w:t>Quyết định quy định liên quan đến việc giao đất, cho thuê đất các thửa đất nhỏ hẹp do Nhà nước trực tiếp quản lý</w:t>
            </w:r>
          </w:p>
        </w:tc>
        <w:tc>
          <w:tcPr>
            <w:tcW w:w="1843" w:type="dxa"/>
          </w:tcPr>
          <w:p w:rsidR="007F1BF2" w:rsidRPr="001E17A5" w:rsidRDefault="001B1AB9" w:rsidP="007F1BF2">
            <w:pPr>
              <w:pStyle w:val="NormalWeb"/>
              <w:jc w:val="both"/>
              <w:rPr>
                <w:lang w:val="en-US" w:eastAsia="en-US"/>
              </w:rPr>
            </w:pPr>
            <w:r w:rsidRPr="001E17A5">
              <w:t>Quyết định số 27/2022/QĐ-UBND ngày 27/9/2022 của Ủy ban nhân dân tỉnh</w:t>
            </w:r>
          </w:p>
        </w:tc>
        <w:tc>
          <w:tcPr>
            <w:tcW w:w="3969" w:type="dxa"/>
          </w:tcPr>
          <w:p w:rsidR="007F1BF2" w:rsidRPr="001E17A5" w:rsidRDefault="007F1BF2" w:rsidP="002910EA">
            <w:pPr>
              <w:pStyle w:val="NormalWeb"/>
              <w:jc w:val="both"/>
            </w:pPr>
          </w:p>
        </w:tc>
        <w:tc>
          <w:tcPr>
            <w:tcW w:w="2268" w:type="dxa"/>
          </w:tcPr>
          <w:p w:rsidR="002910EA" w:rsidRPr="001E17A5" w:rsidRDefault="002910EA" w:rsidP="007F1BF2">
            <w:pPr>
              <w:pStyle w:val="NormalWeb"/>
              <w:jc w:val="both"/>
            </w:pPr>
          </w:p>
        </w:tc>
      </w:tr>
      <w:tr w:rsidR="001E17A5" w:rsidRPr="001E17A5" w:rsidTr="00571A5C">
        <w:tc>
          <w:tcPr>
            <w:tcW w:w="709" w:type="dxa"/>
          </w:tcPr>
          <w:p w:rsidR="007F1BF2" w:rsidRPr="001E17A5" w:rsidRDefault="007F1BF2" w:rsidP="007F1BF2">
            <w:pPr>
              <w:jc w:val="both"/>
              <w:rPr>
                <w:sz w:val="24"/>
                <w:szCs w:val="24"/>
                <w:lang w:val="vi-VN"/>
              </w:rPr>
            </w:pPr>
            <w:r w:rsidRPr="001E17A5">
              <w:rPr>
                <w:sz w:val="24"/>
                <w:szCs w:val="24"/>
                <w:lang w:val="vi-VN"/>
              </w:rPr>
              <w:t>2</w:t>
            </w:r>
          </w:p>
        </w:tc>
        <w:tc>
          <w:tcPr>
            <w:tcW w:w="5103" w:type="dxa"/>
          </w:tcPr>
          <w:p w:rsidR="007F1BF2" w:rsidRPr="001E17A5" w:rsidRDefault="007F1BF2" w:rsidP="002910EA">
            <w:pPr>
              <w:pStyle w:val="NormalWeb"/>
              <w:jc w:val="both"/>
              <w:rPr>
                <w:lang w:val="vi-VN" w:eastAsia="en-US"/>
              </w:rPr>
            </w:pPr>
            <w:r w:rsidRPr="001E17A5">
              <w:rPr>
                <w:lang w:val="vi-VN" w:eastAsia="en-US"/>
              </w:rPr>
              <w:t>Quyết định quy định tách khu đất do Nhà nước quản lý, đất nông nghiệp sử dụng vào mục đích công ích... xen kẽ trong dự án thành dự án độc lập</w:t>
            </w:r>
          </w:p>
        </w:tc>
        <w:tc>
          <w:tcPr>
            <w:tcW w:w="1843" w:type="dxa"/>
          </w:tcPr>
          <w:p w:rsidR="007F1BF2" w:rsidRPr="00AA3045" w:rsidRDefault="00AA3045" w:rsidP="002910EA">
            <w:pPr>
              <w:pStyle w:val="NormalWeb"/>
              <w:jc w:val="both"/>
              <w:rPr>
                <w:lang w:val="en-US" w:eastAsia="en-US"/>
              </w:rPr>
            </w:pPr>
            <w:r w:rsidRPr="00AA3045">
              <w:rPr>
                <w:lang w:val="vi-VN" w:eastAsia="en-US"/>
              </w:rPr>
              <w:t>Quyết định số 34/2022/QĐ-UBND ngày 17/11/2022</w:t>
            </w:r>
            <w:r>
              <w:rPr>
                <w:lang w:val="en-US" w:eastAsia="en-US"/>
              </w:rPr>
              <w:t xml:space="preserve"> </w:t>
            </w:r>
            <w:r w:rsidRPr="001E17A5">
              <w:t>của Ủy ban nhân dân tỉnh</w:t>
            </w:r>
          </w:p>
        </w:tc>
        <w:tc>
          <w:tcPr>
            <w:tcW w:w="3969" w:type="dxa"/>
          </w:tcPr>
          <w:p w:rsidR="007F1BF2" w:rsidRPr="001E17A5" w:rsidRDefault="007F1BF2" w:rsidP="00030723">
            <w:pPr>
              <w:pStyle w:val="NormalWeb"/>
              <w:jc w:val="both"/>
            </w:pPr>
          </w:p>
        </w:tc>
        <w:tc>
          <w:tcPr>
            <w:tcW w:w="2268" w:type="dxa"/>
          </w:tcPr>
          <w:p w:rsidR="007F1BF2" w:rsidRPr="001E17A5" w:rsidRDefault="007F1BF2" w:rsidP="007F1BF2">
            <w:pPr>
              <w:pStyle w:val="NormalWeb"/>
              <w:jc w:val="both"/>
              <w:rPr>
                <w:lang w:val="vi-VN" w:eastAsia="en-US"/>
              </w:rPr>
            </w:pPr>
          </w:p>
        </w:tc>
      </w:tr>
      <w:tr w:rsidR="001E17A5" w:rsidRPr="001E17A5" w:rsidTr="00571A5C">
        <w:tc>
          <w:tcPr>
            <w:tcW w:w="709" w:type="dxa"/>
          </w:tcPr>
          <w:p w:rsidR="00492192" w:rsidRPr="001E17A5" w:rsidRDefault="008C2229" w:rsidP="007F1BF2">
            <w:pPr>
              <w:jc w:val="both"/>
              <w:rPr>
                <w:sz w:val="24"/>
                <w:szCs w:val="24"/>
                <w:lang w:val="vi-VN"/>
              </w:rPr>
            </w:pPr>
            <w:r w:rsidRPr="001E17A5">
              <w:rPr>
                <w:sz w:val="24"/>
                <w:szCs w:val="24"/>
                <w:lang w:val="vi-VN"/>
              </w:rPr>
              <w:t>3</w:t>
            </w:r>
          </w:p>
        </w:tc>
        <w:tc>
          <w:tcPr>
            <w:tcW w:w="5103" w:type="dxa"/>
          </w:tcPr>
          <w:p w:rsidR="00492192" w:rsidRPr="001E17A5" w:rsidRDefault="00492192" w:rsidP="00492192">
            <w:pPr>
              <w:pStyle w:val="NormalWeb"/>
              <w:jc w:val="both"/>
            </w:pPr>
            <w:r w:rsidRPr="001E17A5">
              <w:t xml:space="preserve">Quyết định ban hành Quy định về chính sách, trình tự, thủ tục bồi thường, hỗ trợ và tái định cư khi Nhà nước thu hồi đất trên địa bàn tỉnh Bình Dương </w:t>
            </w:r>
          </w:p>
        </w:tc>
        <w:tc>
          <w:tcPr>
            <w:tcW w:w="1843" w:type="dxa"/>
          </w:tcPr>
          <w:p w:rsidR="00492192" w:rsidRPr="001E17A5" w:rsidRDefault="00492192" w:rsidP="002910EA">
            <w:pPr>
              <w:pStyle w:val="NormalWeb"/>
              <w:jc w:val="both"/>
            </w:pPr>
          </w:p>
        </w:tc>
        <w:tc>
          <w:tcPr>
            <w:tcW w:w="3969" w:type="dxa"/>
          </w:tcPr>
          <w:p w:rsidR="00492192" w:rsidRPr="001E17A5" w:rsidRDefault="00492192" w:rsidP="006A42FB">
            <w:pPr>
              <w:pStyle w:val="NormalWeb"/>
              <w:jc w:val="both"/>
            </w:pPr>
            <w:r w:rsidRPr="001E17A5">
              <w:t xml:space="preserve">Đang </w:t>
            </w:r>
            <w:r w:rsidR="00C02D77" w:rsidRPr="001E17A5">
              <w:t>tổng hợp tiếp thu, giải trình ý kiến góp ý của các sở, ban ngành.</w:t>
            </w:r>
          </w:p>
        </w:tc>
        <w:tc>
          <w:tcPr>
            <w:tcW w:w="2268" w:type="dxa"/>
          </w:tcPr>
          <w:p w:rsidR="00492192" w:rsidRPr="001E17A5" w:rsidRDefault="00492192" w:rsidP="00492192">
            <w:pPr>
              <w:pStyle w:val="NormalWeb"/>
            </w:pPr>
            <w:r w:rsidRPr="001E17A5">
              <w:t xml:space="preserve">Thay thế Quyết định số 51/2014/QĐ-UBND ngày 18/12/2014 của Ủy ban nhân dân tỉnh </w:t>
            </w:r>
          </w:p>
        </w:tc>
      </w:tr>
      <w:tr w:rsidR="001E17A5" w:rsidRPr="001E17A5" w:rsidTr="00571A5C">
        <w:tc>
          <w:tcPr>
            <w:tcW w:w="709" w:type="dxa"/>
          </w:tcPr>
          <w:p w:rsidR="00897BCE" w:rsidRPr="001E17A5" w:rsidRDefault="00897BCE" w:rsidP="007F1BF2">
            <w:pPr>
              <w:jc w:val="both"/>
              <w:rPr>
                <w:sz w:val="24"/>
                <w:szCs w:val="24"/>
              </w:rPr>
            </w:pPr>
            <w:r w:rsidRPr="001E17A5">
              <w:rPr>
                <w:sz w:val="24"/>
                <w:szCs w:val="24"/>
              </w:rPr>
              <w:t>4</w:t>
            </w:r>
          </w:p>
        </w:tc>
        <w:tc>
          <w:tcPr>
            <w:tcW w:w="5103" w:type="dxa"/>
          </w:tcPr>
          <w:p w:rsidR="00897BCE" w:rsidRPr="001E17A5" w:rsidRDefault="00897BCE" w:rsidP="00492192">
            <w:pPr>
              <w:pStyle w:val="NormalWeb"/>
              <w:jc w:val="both"/>
            </w:pPr>
            <w:r w:rsidRPr="001E17A5">
              <w:t>Quyết định ban hành Đơn giá xây dựng, điều chỉnh bảng giá đất trên địa bàn tỉnh Bình Dương</w:t>
            </w:r>
          </w:p>
        </w:tc>
        <w:tc>
          <w:tcPr>
            <w:tcW w:w="1843" w:type="dxa"/>
          </w:tcPr>
          <w:p w:rsidR="00897BCE" w:rsidRPr="001E17A5" w:rsidRDefault="00897BCE" w:rsidP="002910EA">
            <w:pPr>
              <w:pStyle w:val="NormalWeb"/>
              <w:jc w:val="both"/>
            </w:pPr>
          </w:p>
        </w:tc>
        <w:tc>
          <w:tcPr>
            <w:tcW w:w="3969" w:type="dxa"/>
            <w:vMerge w:val="restart"/>
          </w:tcPr>
          <w:p w:rsidR="00897BCE" w:rsidRPr="001E17A5" w:rsidRDefault="00897BCE" w:rsidP="002910EA">
            <w:pPr>
              <w:pStyle w:val="NormalWeb"/>
              <w:jc w:val="both"/>
            </w:pPr>
            <w:r w:rsidRPr="001E17A5">
              <w:t>Đã được Ủy ban nhân dân tỉnh chấp thuận chủ trương và đang thương thảo ký hợp đồng dịch vụ thẩm định giá để triển khai thực hiện xây dựng đơn giá</w:t>
            </w:r>
          </w:p>
        </w:tc>
        <w:tc>
          <w:tcPr>
            <w:tcW w:w="2268" w:type="dxa"/>
          </w:tcPr>
          <w:p w:rsidR="00897BCE" w:rsidRPr="001E17A5" w:rsidRDefault="00897BCE" w:rsidP="00492192">
            <w:pPr>
              <w:pStyle w:val="NormalWeb"/>
              <w:rPr>
                <w:lang w:val="vi-VN" w:eastAsia="en-US"/>
              </w:rPr>
            </w:pPr>
          </w:p>
        </w:tc>
      </w:tr>
      <w:tr w:rsidR="001E17A5" w:rsidRPr="001E17A5" w:rsidTr="00571A5C">
        <w:tc>
          <w:tcPr>
            <w:tcW w:w="709" w:type="dxa"/>
          </w:tcPr>
          <w:p w:rsidR="00897BCE" w:rsidRPr="001E17A5" w:rsidRDefault="00897BCE" w:rsidP="007F1BF2">
            <w:pPr>
              <w:jc w:val="both"/>
              <w:rPr>
                <w:sz w:val="24"/>
                <w:szCs w:val="24"/>
              </w:rPr>
            </w:pPr>
            <w:r w:rsidRPr="001E17A5">
              <w:rPr>
                <w:sz w:val="24"/>
                <w:szCs w:val="24"/>
              </w:rPr>
              <w:t>5</w:t>
            </w:r>
          </w:p>
        </w:tc>
        <w:tc>
          <w:tcPr>
            <w:tcW w:w="5103" w:type="dxa"/>
          </w:tcPr>
          <w:p w:rsidR="00897BCE" w:rsidRPr="001E17A5" w:rsidRDefault="00897BCE" w:rsidP="00AA1B2F">
            <w:pPr>
              <w:pStyle w:val="NormalWeb"/>
              <w:jc w:val="both"/>
              <w:rPr>
                <w:lang w:val="vi-VN" w:eastAsia="en-US"/>
              </w:rPr>
            </w:pPr>
            <w:r w:rsidRPr="001E17A5">
              <w:rPr>
                <w:lang w:val="vi-VN" w:eastAsia="en-US"/>
              </w:rPr>
              <w:t>Văn bản điều chỉnh Quyết định số 06/2016/QĐ-UBND ngày 29/02/2016 của UBND tỉnh về việc ban hành đơn giá định giá đất cụ thể trên địa bàn tỉnh Bình Dương</w:t>
            </w:r>
          </w:p>
        </w:tc>
        <w:tc>
          <w:tcPr>
            <w:tcW w:w="1843" w:type="dxa"/>
          </w:tcPr>
          <w:p w:rsidR="00897BCE" w:rsidRPr="001E17A5" w:rsidRDefault="00897BCE" w:rsidP="002910EA">
            <w:pPr>
              <w:pStyle w:val="NormalWeb"/>
              <w:jc w:val="both"/>
              <w:rPr>
                <w:lang w:val="vi-VN" w:eastAsia="en-US"/>
              </w:rPr>
            </w:pPr>
          </w:p>
        </w:tc>
        <w:tc>
          <w:tcPr>
            <w:tcW w:w="3969" w:type="dxa"/>
            <w:vMerge/>
          </w:tcPr>
          <w:p w:rsidR="00897BCE" w:rsidRPr="001E17A5" w:rsidRDefault="00897BCE" w:rsidP="002910EA">
            <w:pPr>
              <w:pStyle w:val="NormalWeb"/>
              <w:jc w:val="both"/>
              <w:rPr>
                <w:lang w:val="vi-VN" w:eastAsia="en-US"/>
              </w:rPr>
            </w:pPr>
          </w:p>
        </w:tc>
        <w:tc>
          <w:tcPr>
            <w:tcW w:w="2268" w:type="dxa"/>
          </w:tcPr>
          <w:p w:rsidR="00897BCE" w:rsidRPr="001E17A5" w:rsidRDefault="00897BCE" w:rsidP="00492192">
            <w:pPr>
              <w:pStyle w:val="NormalWeb"/>
              <w:rPr>
                <w:lang w:val="vi-VN" w:eastAsia="en-US"/>
              </w:rPr>
            </w:pPr>
          </w:p>
        </w:tc>
      </w:tr>
      <w:tr w:rsidR="001E17A5" w:rsidRPr="001E17A5" w:rsidTr="00571A5C">
        <w:tc>
          <w:tcPr>
            <w:tcW w:w="709" w:type="dxa"/>
          </w:tcPr>
          <w:p w:rsidR="00D1303B" w:rsidRPr="00BA478C" w:rsidRDefault="00BA478C" w:rsidP="007F1BF2">
            <w:pPr>
              <w:jc w:val="both"/>
              <w:rPr>
                <w:sz w:val="24"/>
                <w:szCs w:val="24"/>
                <w:lang w:val="vi-VN"/>
              </w:rPr>
            </w:pPr>
            <w:r>
              <w:rPr>
                <w:sz w:val="24"/>
                <w:szCs w:val="24"/>
                <w:lang w:val="vi-VN"/>
              </w:rPr>
              <w:t>6</w:t>
            </w:r>
          </w:p>
        </w:tc>
        <w:tc>
          <w:tcPr>
            <w:tcW w:w="5103" w:type="dxa"/>
          </w:tcPr>
          <w:p w:rsidR="00D1303B" w:rsidRPr="001E17A5" w:rsidRDefault="00D1303B" w:rsidP="00CB0545">
            <w:pPr>
              <w:pStyle w:val="NormalWeb"/>
              <w:jc w:val="both"/>
              <w:rPr>
                <w:lang w:val="vi-VN" w:eastAsia="en-US"/>
              </w:rPr>
            </w:pPr>
            <w:r w:rsidRPr="001E17A5">
              <w:rPr>
                <w:lang w:val="vi-VN" w:eastAsia="en-US"/>
              </w:rPr>
              <w:t>Quy định bãi bỏ toàn bộ Quyết định số 691/QĐ-UBND ngày 19/3/2018 của Ủy ban nhân dân tỉnh về việc phê duyệt danh mục quỹ đất do Nhà nước quản lý trên địa bàn tỉnh</w:t>
            </w:r>
          </w:p>
        </w:tc>
        <w:tc>
          <w:tcPr>
            <w:tcW w:w="1843" w:type="dxa"/>
          </w:tcPr>
          <w:p w:rsidR="00D1303B" w:rsidRPr="001E17A5" w:rsidRDefault="00D1303B" w:rsidP="002910EA">
            <w:pPr>
              <w:pStyle w:val="NormalWeb"/>
              <w:jc w:val="both"/>
              <w:rPr>
                <w:lang w:val="vi-VN" w:eastAsia="en-US"/>
              </w:rPr>
            </w:pPr>
            <w:r w:rsidRPr="001E17A5">
              <w:rPr>
                <w:lang w:val="vi-VN" w:eastAsia="en-US"/>
              </w:rPr>
              <w:t xml:space="preserve">Quyết định số 2477/QĐ-UBND ngày 06/10/2022 của </w:t>
            </w:r>
            <w:r w:rsidRPr="001E17A5">
              <w:rPr>
                <w:lang w:val="vi-VN" w:eastAsia="en-US"/>
              </w:rPr>
              <w:lastRenderedPageBreak/>
              <w:t>Ủy ban nhân dân tỉnh</w:t>
            </w:r>
          </w:p>
        </w:tc>
        <w:tc>
          <w:tcPr>
            <w:tcW w:w="3969" w:type="dxa"/>
          </w:tcPr>
          <w:p w:rsidR="00D1303B" w:rsidRPr="001E17A5" w:rsidRDefault="00D1303B" w:rsidP="006F2B0F">
            <w:pPr>
              <w:pStyle w:val="NormalWeb"/>
              <w:jc w:val="both"/>
              <w:rPr>
                <w:lang w:val="vi-VN" w:eastAsia="en-US"/>
              </w:rPr>
            </w:pPr>
          </w:p>
        </w:tc>
        <w:tc>
          <w:tcPr>
            <w:tcW w:w="2268" w:type="dxa"/>
          </w:tcPr>
          <w:p w:rsidR="00D1303B" w:rsidRPr="001E17A5" w:rsidRDefault="00D1303B" w:rsidP="00492192">
            <w:pPr>
              <w:pStyle w:val="NormalWeb"/>
              <w:rPr>
                <w:lang w:val="vi-VN" w:eastAsia="en-US"/>
              </w:rPr>
            </w:pPr>
          </w:p>
        </w:tc>
      </w:tr>
      <w:tr w:rsidR="001E17A5" w:rsidRPr="001E17A5" w:rsidTr="00571A5C">
        <w:tc>
          <w:tcPr>
            <w:tcW w:w="709" w:type="dxa"/>
          </w:tcPr>
          <w:p w:rsidR="00CB0545" w:rsidRPr="00BA478C" w:rsidRDefault="00BA478C" w:rsidP="007F1BF2">
            <w:pPr>
              <w:jc w:val="both"/>
              <w:rPr>
                <w:sz w:val="24"/>
                <w:szCs w:val="24"/>
                <w:lang w:val="vi-VN"/>
              </w:rPr>
            </w:pPr>
            <w:r>
              <w:rPr>
                <w:sz w:val="24"/>
                <w:szCs w:val="24"/>
                <w:lang w:val="vi-VN"/>
              </w:rPr>
              <w:lastRenderedPageBreak/>
              <w:t>7</w:t>
            </w:r>
          </w:p>
        </w:tc>
        <w:tc>
          <w:tcPr>
            <w:tcW w:w="5103" w:type="dxa"/>
          </w:tcPr>
          <w:p w:rsidR="00CB0545" w:rsidRPr="001E17A5" w:rsidRDefault="008D40E9" w:rsidP="00CB0545">
            <w:pPr>
              <w:pStyle w:val="NormalWeb"/>
              <w:jc w:val="both"/>
              <w:rPr>
                <w:lang w:val="vi-VN" w:eastAsia="en-US"/>
              </w:rPr>
            </w:pPr>
            <w:r w:rsidRPr="001E17A5">
              <w:rPr>
                <w:lang w:val="en-US"/>
              </w:rPr>
              <w:t>Đ</w:t>
            </w:r>
            <w:r w:rsidRPr="001E17A5">
              <w:t>ơn giá dịch vụ sự nghiệp công Thống kê đất đai trên địa bàn tỉnh;</w:t>
            </w:r>
          </w:p>
        </w:tc>
        <w:tc>
          <w:tcPr>
            <w:tcW w:w="1843" w:type="dxa"/>
          </w:tcPr>
          <w:p w:rsidR="00CB0545" w:rsidRPr="001E17A5" w:rsidRDefault="008D40E9" w:rsidP="002910EA">
            <w:pPr>
              <w:pStyle w:val="NormalWeb"/>
              <w:jc w:val="both"/>
              <w:rPr>
                <w:lang w:val="vi-VN" w:eastAsia="en-US"/>
              </w:rPr>
            </w:pPr>
            <w:r w:rsidRPr="001E17A5">
              <w:t>Quyết định số 26/2022/QĐ-UBND ngày 22/09/2022 của</w:t>
            </w:r>
            <w:r w:rsidRPr="001E17A5">
              <w:rPr>
                <w:lang w:val="en-US"/>
              </w:rPr>
              <w:t xml:space="preserve"> </w:t>
            </w:r>
            <w:r w:rsidRPr="001E17A5">
              <w:rPr>
                <w:lang w:val="vi-VN" w:eastAsia="en-US"/>
              </w:rPr>
              <w:t>Ủy ban nhân dân tỉnh</w:t>
            </w:r>
            <w:r w:rsidRPr="001E17A5">
              <w:t xml:space="preserve"> </w:t>
            </w:r>
          </w:p>
        </w:tc>
        <w:tc>
          <w:tcPr>
            <w:tcW w:w="3969" w:type="dxa"/>
          </w:tcPr>
          <w:p w:rsidR="00CB0545" w:rsidRPr="001E17A5" w:rsidRDefault="00CB0545" w:rsidP="006F2B0F">
            <w:pPr>
              <w:pStyle w:val="NormalWeb"/>
              <w:jc w:val="both"/>
              <w:rPr>
                <w:lang w:val="vi-VN" w:eastAsia="en-US"/>
              </w:rPr>
            </w:pPr>
          </w:p>
        </w:tc>
        <w:tc>
          <w:tcPr>
            <w:tcW w:w="2268" w:type="dxa"/>
          </w:tcPr>
          <w:p w:rsidR="00CB0545" w:rsidRPr="001E17A5" w:rsidRDefault="00CB0545" w:rsidP="00492192">
            <w:pPr>
              <w:pStyle w:val="NormalWeb"/>
              <w:rPr>
                <w:lang w:val="vi-VN" w:eastAsia="en-US"/>
              </w:rPr>
            </w:pPr>
          </w:p>
        </w:tc>
      </w:tr>
      <w:tr w:rsidR="001E17A5" w:rsidRPr="001E17A5" w:rsidTr="00571A5C">
        <w:tc>
          <w:tcPr>
            <w:tcW w:w="709" w:type="dxa"/>
          </w:tcPr>
          <w:p w:rsidR="00CB0545" w:rsidRPr="00BA478C" w:rsidRDefault="00BA478C" w:rsidP="007F1BF2">
            <w:pPr>
              <w:jc w:val="both"/>
              <w:rPr>
                <w:sz w:val="24"/>
                <w:szCs w:val="24"/>
                <w:lang w:val="vi-VN"/>
              </w:rPr>
            </w:pPr>
            <w:r>
              <w:rPr>
                <w:sz w:val="24"/>
                <w:szCs w:val="24"/>
                <w:lang w:val="vi-VN"/>
              </w:rPr>
              <w:t>8</w:t>
            </w:r>
          </w:p>
        </w:tc>
        <w:tc>
          <w:tcPr>
            <w:tcW w:w="5103" w:type="dxa"/>
          </w:tcPr>
          <w:p w:rsidR="00CB0545" w:rsidRPr="001E17A5" w:rsidRDefault="00CB0545" w:rsidP="00CB0545">
            <w:pPr>
              <w:pStyle w:val="NormalWeb"/>
              <w:jc w:val="both"/>
              <w:rPr>
                <w:lang w:val="vi-VN" w:eastAsia="en-US"/>
              </w:rPr>
            </w:pPr>
            <w:r w:rsidRPr="001E17A5">
              <w:rPr>
                <w:lang w:val="vi-VN"/>
              </w:rPr>
              <w:t>Quyết định về Quy định điều kiện tách thửa đất, điều kiện hợp thửa đất và diện tích tối thiểu được tách thửa đố​i với từng loại đất trên địa bàn tỉnh</w:t>
            </w:r>
          </w:p>
        </w:tc>
        <w:tc>
          <w:tcPr>
            <w:tcW w:w="1843" w:type="dxa"/>
          </w:tcPr>
          <w:p w:rsidR="00CB0545" w:rsidRPr="001E17A5" w:rsidRDefault="00CB0545" w:rsidP="002910EA">
            <w:pPr>
              <w:pStyle w:val="NormalWeb"/>
              <w:jc w:val="both"/>
              <w:rPr>
                <w:lang w:val="en-US" w:eastAsia="en-US"/>
              </w:rPr>
            </w:pPr>
          </w:p>
        </w:tc>
        <w:tc>
          <w:tcPr>
            <w:tcW w:w="3969" w:type="dxa"/>
          </w:tcPr>
          <w:p w:rsidR="00CB0545" w:rsidRPr="001E17A5" w:rsidRDefault="00360272" w:rsidP="002910EA">
            <w:pPr>
              <w:pStyle w:val="NormalWeb"/>
              <w:jc w:val="both"/>
              <w:rPr>
                <w:lang w:val="en-US" w:eastAsia="en-US"/>
              </w:rPr>
            </w:pPr>
            <w:r w:rsidRPr="001E17A5">
              <w:rPr>
                <w:shd w:val="clear" w:color="auto" w:fill="FFFFFF"/>
                <w:lang w:val="en-US"/>
              </w:rPr>
              <w:t>Đã trình Sở Tư pháp thẩm định và đang đánh giá tác động, dự kiến tham mưu ban hành trong tháng 12/2022</w:t>
            </w:r>
          </w:p>
        </w:tc>
        <w:tc>
          <w:tcPr>
            <w:tcW w:w="2268" w:type="dxa"/>
          </w:tcPr>
          <w:p w:rsidR="00CB0545" w:rsidRPr="001E17A5" w:rsidRDefault="00CB0545" w:rsidP="00492192">
            <w:pPr>
              <w:pStyle w:val="NormalWeb"/>
              <w:rPr>
                <w:lang w:val="vi-VN" w:eastAsia="en-US"/>
              </w:rPr>
            </w:pPr>
            <w:r w:rsidRPr="001E17A5">
              <w:rPr>
                <w:lang w:val="vi-VN"/>
              </w:rPr>
              <w:t>Thay thế Quyết định số 25/2017/QĐ-UBND ngày 27/9/2017, số 28/2019/QĐ-UBND ngày 03/12/2019</w:t>
            </w:r>
          </w:p>
        </w:tc>
      </w:tr>
      <w:tr w:rsidR="001E17A5" w:rsidRPr="001E17A5" w:rsidTr="00571A5C">
        <w:tc>
          <w:tcPr>
            <w:tcW w:w="709" w:type="dxa"/>
          </w:tcPr>
          <w:p w:rsidR="00CB0545" w:rsidRPr="00BA478C" w:rsidRDefault="00BA478C" w:rsidP="007F1BF2">
            <w:pPr>
              <w:jc w:val="both"/>
              <w:rPr>
                <w:sz w:val="24"/>
                <w:szCs w:val="24"/>
                <w:lang w:val="vi-VN"/>
              </w:rPr>
            </w:pPr>
            <w:r>
              <w:rPr>
                <w:sz w:val="24"/>
                <w:szCs w:val="24"/>
                <w:lang w:val="vi-VN"/>
              </w:rPr>
              <w:t>9</w:t>
            </w:r>
          </w:p>
        </w:tc>
        <w:tc>
          <w:tcPr>
            <w:tcW w:w="5103" w:type="dxa"/>
          </w:tcPr>
          <w:p w:rsidR="00CB0545" w:rsidRPr="001E17A5" w:rsidRDefault="00CB0545" w:rsidP="00AA1B2F">
            <w:pPr>
              <w:pStyle w:val="NormalWeb"/>
              <w:jc w:val="both"/>
              <w:rPr>
                <w:lang w:val="vi-VN" w:eastAsia="en-US"/>
              </w:rPr>
            </w:pPr>
            <w:r w:rsidRPr="001E17A5">
              <w:rPr>
                <w:iCs/>
                <w:spacing w:val="-2"/>
                <w:lang w:val="it-IT"/>
              </w:rPr>
              <w:t>Quyết định ban hành Bảng đơn giá đo đạc và bản đồ địa chính</w:t>
            </w:r>
          </w:p>
        </w:tc>
        <w:tc>
          <w:tcPr>
            <w:tcW w:w="1843" w:type="dxa"/>
          </w:tcPr>
          <w:p w:rsidR="00CB0545" w:rsidRPr="001E17A5" w:rsidRDefault="00360272" w:rsidP="002910EA">
            <w:pPr>
              <w:pStyle w:val="NormalWeb"/>
              <w:jc w:val="both"/>
              <w:rPr>
                <w:lang w:val="vi-VN" w:eastAsia="en-US"/>
              </w:rPr>
            </w:pPr>
            <w:r w:rsidRPr="001E17A5">
              <w:t>Quyết định số 32/2022/QĐ-UBND ngày 12/10/2022 của</w:t>
            </w:r>
            <w:r w:rsidRPr="001E17A5">
              <w:rPr>
                <w:lang w:val="en-US"/>
              </w:rPr>
              <w:t xml:space="preserve"> </w:t>
            </w:r>
            <w:r w:rsidRPr="001E17A5">
              <w:rPr>
                <w:lang w:val="vi-VN" w:eastAsia="en-US"/>
              </w:rPr>
              <w:t>Ủy ban nhân dân tỉnh</w:t>
            </w:r>
          </w:p>
        </w:tc>
        <w:tc>
          <w:tcPr>
            <w:tcW w:w="3969" w:type="dxa"/>
          </w:tcPr>
          <w:p w:rsidR="00CB0545" w:rsidRPr="001E17A5" w:rsidRDefault="00CB0545" w:rsidP="002910EA">
            <w:pPr>
              <w:pStyle w:val="NormalWeb"/>
              <w:jc w:val="both"/>
              <w:rPr>
                <w:shd w:val="clear" w:color="auto" w:fill="FFFFFF"/>
              </w:rPr>
            </w:pPr>
          </w:p>
        </w:tc>
        <w:tc>
          <w:tcPr>
            <w:tcW w:w="2268" w:type="dxa"/>
          </w:tcPr>
          <w:p w:rsidR="00CB0545" w:rsidRPr="001E17A5" w:rsidRDefault="00CB0545" w:rsidP="00492192">
            <w:pPr>
              <w:pStyle w:val="NormalWeb"/>
              <w:rPr>
                <w:lang w:val="vi-VN" w:eastAsia="en-US"/>
              </w:rPr>
            </w:pPr>
          </w:p>
        </w:tc>
      </w:tr>
      <w:tr w:rsidR="001E17A5" w:rsidRPr="001E17A5" w:rsidTr="00365942">
        <w:tc>
          <w:tcPr>
            <w:tcW w:w="13892" w:type="dxa"/>
            <w:gridSpan w:val="5"/>
          </w:tcPr>
          <w:p w:rsidR="007F1BF2" w:rsidRPr="001E17A5" w:rsidRDefault="007F1BF2" w:rsidP="007F1BF2">
            <w:pPr>
              <w:spacing w:before="120" w:after="120"/>
              <w:jc w:val="both"/>
              <w:rPr>
                <w:b/>
                <w:sz w:val="24"/>
                <w:szCs w:val="24"/>
                <w:lang w:val="vi-VN"/>
              </w:rPr>
            </w:pPr>
            <w:r w:rsidRPr="001E17A5">
              <w:rPr>
                <w:b/>
                <w:sz w:val="24"/>
                <w:szCs w:val="24"/>
                <w:lang w:val="vi-VN"/>
              </w:rPr>
              <w:t>B. LĨNH VỰC MÔI TRƯỜNG, KHÍ TƯỢNG THỦY VĂN VÀ BIẾN ĐỔI KHÍ HẬU</w:t>
            </w:r>
          </w:p>
        </w:tc>
      </w:tr>
      <w:tr w:rsidR="001E17A5" w:rsidRPr="001E17A5" w:rsidTr="00571A5C">
        <w:trPr>
          <w:trHeight w:val="2342"/>
        </w:trPr>
        <w:tc>
          <w:tcPr>
            <w:tcW w:w="709" w:type="dxa"/>
          </w:tcPr>
          <w:p w:rsidR="007F1BF2" w:rsidRPr="00BA478C" w:rsidRDefault="00BA478C" w:rsidP="007F1BF2">
            <w:pPr>
              <w:pStyle w:val="NormalWeb"/>
              <w:jc w:val="both"/>
              <w:rPr>
                <w:lang w:val="vi-VN" w:eastAsia="en-US"/>
              </w:rPr>
            </w:pPr>
            <w:r>
              <w:rPr>
                <w:lang w:val="vi-VN" w:eastAsia="en-US"/>
              </w:rPr>
              <w:t>10</w:t>
            </w:r>
          </w:p>
        </w:tc>
        <w:tc>
          <w:tcPr>
            <w:tcW w:w="5103" w:type="dxa"/>
          </w:tcPr>
          <w:p w:rsidR="007F1BF2" w:rsidRPr="001E17A5" w:rsidRDefault="00C2423C" w:rsidP="007F1BF2">
            <w:pPr>
              <w:spacing w:before="60" w:after="60"/>
              <w:jc w:val="both"/>
              <w:rPr>
                <w:sz w:val="24"/>
                <w:szCs w:val="24"/>
                <w:lang w:val="vi-VN"/>
              </w:rPr>
            </w:pPr>
            <w:r w:rsidRPr="001E17A5">
              <w:rPr>
                <w:sz w:val="24"/>
                <w:szCs w:val="24"/>
              </w:rPr>
              <w:t>V</w:t>
            </w:r>
            <w:r w:rsidR="007F1BF2" w:rsidRPr="001E17A5">
              <w:rPr>
                <w:sz w:val="24"/>
                <w:szCs w:val="24"/>
                <w:lang w:val="vi-VN"/>
              </w:rPr>
              <w:t xml:space="preserve">ề việc </w:t>
            </w:r>
            <w:r w:rsidR="007F1BF2" w:rsidRPr="001E17A5">
              <w:rPr>
                <w:sz w:val="24"/>
                <w:szCs w:val="24"/>
                <w:lang w:val="nb-NO"/>
              </w:rPr>
              <w:t>thực hiện Chỉ thị 10-CT/TW ngày 25/9/2021 của Ban Bí thư về tăng cường sự lãnh đạo của Đảng đối với công tác khí tượng thủy văn đáp ứng yêu cầu xây dựng và bảo vệ Tổ quốc</w:t>
            </w:r>
          </w:p>
          <w:p w:rsidR="007F1BF2" w:rsidRPr="001E17A5" w:rsidRDefault="007F1BF2" w:rsidP="007F1BF2">
            <w:pPr>
              <w:pStyle w:val="NormalWeb"/>
              <w:jc w:val="both"/>
              <w:rPr>
                <w:lang w:val="vi-VN" w:eastAsia="en-US"/>
              </w:rPr>
            </w:pPr>
          </w:p>
        </w:tc>
        <w:tc>
          <w:tcPr>
            <w:tcW w:w="1843" w:type="dxa"/>
          </w:tcPr>
          <w:p w:rsidR="007F1BF2" w:rsidRPr="001E17A5" w:rsidRDefault="00C2423C" w:rsidP="00C53965">
            <w:pPr>
              <w:pStyle w:val="NormalWeb"/>
              <w:jc w:val="both"/>
              <w:rPr>
                <w:lang w:val="en-US" w:eastAsia="en-US"/>
              </w:rPr>
            </w:pPr>
            <w:r w:rsidRPr="001E17A5">
              <w:rPr>
                <w:lang w:val="nb-NO"/>
              </w:rPr>
              <w:t xml:space="preserve">Kế hoạch số 51-KH/TU ngày </w:t>
            </w:r>
            <w:r w:rsidRPr="001E17A5">
              <w:rPr>
                <w:lang w:val="nb-NO" w:eastAsia="en-US"/>
              </w:rPr>
              <w:t>02/3/2022 của Tỉnh ủy</w:t>
            </w:r>
            <w:r w:rsidR="00C53965" w:rsidRPr="001E17A5">
              <w:rPr>
                <w:lang w:val="nb-NO" w:eastAsia="en-US"/>
              </w:rPr>
              <w:t>; Kế hoạch số 4336/KH-UBND ngày 25/8/2022  của Ủy ban nhân dân tỉnh</w:t>
            </w:r>
          </w:p>
        </w:tc>
        <w:tc>
          <w:tcPr>
            <w:tcW w:w="3969" w:type="dxa"/>
          </w:tcPr>
          <w:p w:rsidR="007F1BF2" w:rsidRPr="001E17A5" w:rsidRDefault="007F1BF2" w:rsidP="007F1BF2">
            <w:pPr>
              <w:pStyle w:val="NormalWeb"/>
              <w:jc w:val="both"/>
              <w:rPr>
                <w:lang w:val="vi-VN" w:eastAsia="en-US"/>
              </w:rPr>
            </w:pPr>
          </w:p>
        </w:tc>
        <w:tc>
          <w:tcPr>
            <w:tcW w:w="2268" w:type="dxa"/>
          </w:tcPr>
          <w:p w:rsidR="007F1BF2" w:rsidRPr="001E17A5" w:rsidRDefault="007F1BF2" w:rsidP="007F1BF2">
            <w:pPr>
              <w:pStyle w:val="NormalWeb"/>
              <w:jc w:val="both"/>
              <w:rPr>
                <w:lang w:val="vi-VN" w:eastAsia="en-US"/>
              </w:rPr>
            </w:pPr>
          </w:p>
        </w:tc>
      </w:tr>
      <w:tr w:rsidR="001E17A5" w:rsidRPr="001E17A5" w:rsidTr="00571A5C">
        <w:tc>
          <w:tcPr>
            <w:tcW w:w="709" w:type="dxa"/>
          </w:tcPr>
          <w:p w:rsidR="007F1BF2" w:rsidRPr="00BA478C" w:rsidRDefault="009807B4" w:rsidP="00BA478C">
            <w:pPr>
              <w:pStyle w:val="NormalWeb"/>
              <w:jc w:val="both"/>
              <w:rPr>
                <w:lang w:val="vi-VN" w:eastAsia="en-US"/>
              </w:rPr>
            </w:pPr>
            <w:r w:rsidRPr="001E17A5">
              <w:rPr>
                <w:lang w:val="en-US" w:eastAsia="en-US"/>
              </w:rPr>
              <w:t>1</w:t>
            </w:r>
            <w:r w:rsidR="00BA478C">
              <w:rPr>
                <w:lang w:val="vi-VN" w:eastAsia="en-US"/>
              </w:rPr>
              <w:t>1</w:t>
            </w:r>
          </w:p>
        </w:tc>
        <w:tc>
          <w:tcPr>
            <w:tcW w:w="5103" w:type="dxa"/>
          </w:tcPr>
          <w:p w:rsidR="007F1BF2" w:rsidRPr="001E17A5" w:rsidRDefault="00C2423C" w:rsidP="00825361">
            <w:pPr>
              <w:pStyle w:val="ListParagraph"/>
              <w:spacing w:before="80" w:after="120"/>
              <w:ind w:left="0" w:firstLine="33"/>
              <w:jc w:val="both"/>
              <w:outlineLvl w:val="0"/>
              <w:rPr>
                <w:sz w:val="24"/>
                <w:szCs w:val="24"/>
                <w:lang w:val="vi-VN"/>
              </w:rPr>
            </w:pPr>
            <w:r w:rsidRPr="001E17A5">
              <w:rPr>
                <w:sz w:val="24"/>
                <w:szCs w:val="24"/>
              </w:rPr>
              <w:t>V</w:t>
            </w:r>
            <w:r w:rsidR="007F1BF2" w:rsidRPr="001E17A5">
              <w:rPr>
                <w:sz w:val="24"/>
                <w:szCs w:val="24"/>
              </w:rPr>
              <w:t>ề việc bãi bỏ toàn bộ “</w:t>
            </w:r>
            <w:r w:rsidR="007F1BF2" w:rsidRPr="001E17A5">
              <w:rPr>
                <w:i/>
                <w:sz w:val="24"/>
                <w:szCs w:val="24"/>
              </w:rPr>
              <w:t xml:space="preserve">Quyết định số 50/2015/QĐ-UBND ngày </w:t>
            </w:r>
            <w:r w:rsidR="007F1BF2" w:rsidRPr="001E17A5">
              <w:rPr>
                <w:i/>
                <w:sz w:val="24"/>
                <w:szCs w:val="24"/>
                <w:lang w:val="nb-NO"/>
              </w:rPr>
              <w:t>05/11/2015</w:t>
            </w:r>
            <w:r w:rsidR="007F1BF2" w:rsidRPr="001E17A5">
              <w:rPr>
                <w:i/>
                <w:sz w:val="24"/>
                <w:szCs w:val="24"/>
              </w:rPr>
              <w:t xml:space="preserve"> về việc ủy quyền thẩm định, phê duyệt báo cáo đánh giá tác động môi trường, đề án bảo vệ môi trường chi tiết và phương án cải tạo, phục hồi môi trường trong hoạt động khai thác khoáng sản; kiểm tra, xác nhận hoàn thành công trình bảo vệ môi trường và </w:t>
            </w:r>
            <w:r w:rsidR="007F1BF2" w:rsidRPr="001E17A5">
              <w:rPr>
                <w:i/>
                <w:sz w:val="24"/>
                <w:szCs w:val="24"/>
              </w:rPr>
              <w:lastRenderedPageBreak/>
              <w:t>hoàn thành phương án cải tạo phục hồi môi trường đối với các dự án nằm ngoài khu công nghiệp thuộc thẩm quyền của Ủy ban nhân dân tỉnh”</w:t>
            </w:r>
          </w:p>
        </w:tc>
        <w:tc>
          <w:tcPr>
            <w:tcW w:w="1843" w:type="dxa"/>
          </w:tcPr>
          <w:p w:rsidR="007F1BF2" w:rsidRPr="001E17A5" w:rsidRDefault="00C2423C" w:rsidP="00C2423C">
            <w:pPr>
              <w:spacing w:line="276" w:lineRule="auto"/>
              <w:jc w:val="both"/>
              <w:rPr>
                <w:sz w:val="24"/>
                <w:szCs w:val="24"/>
                <w:lang w:val="vi-VN"/>
              </w:rPr>
            </w:pPr>
            <w:r w:rsidRPr="001E17A5">
              <w:rPr>
                <w:sz w:val="24"/>
                <w:szCs w:val="24"/>
              </w:rPr>
              <w:lastRenderedPageBreak/>
              <w:t>Quyết định số 12/2022/QĐ-UBND ngày 26/4/2022 của Ủy ban nhân dân tỉnh</w:t>
            </w:r>
          </w:p>
        </w:tc>
        <w:tc>
          <w:tcPr>
            <w:tcW w:w="3969" w:type="dxa"/>
          </w:tcPr>
          <w:p w:rsidR="007F1BF2" w:rsidRPr="001E17A5" w:rsidRDefault="007F1BF2" w:rsidP="007F1BF2">
            <w:pPr>
              <w:spacing w:line="276" w:lineRule="auto"/>
              <w:jc w:val="both"/>
              <w:rPr>
                <w:sz w:val="24"/>
                <w:szCs w:val="24"/>
                <w:lang w:val="vi-VN"/>
              </w:rPr>
            </w:pPr>
          </w:p>
        </w:tc>
        <w:tc>
          <w:tcPr>
            <w:tcW w:w="2268" w:type="dxa"/>
          </w:tcPr>
          <w:p w:rsidR="007F1BF2" w:rsidRPr="001E17A5" w:rsidRDefault="007F1BF2" w:rsidP="007F1BF2">
            <w:pPr>
              <w:spacing w:line="276" w:lineRule="auto"/>
              <w:jc w:val="both"/>
              <w:rPr>
                <w:sz w:val="24"/>
                <w:szCs w:val="24"/>
                <w:lang w:val="vi-VN"/>
              </w:rPr>
            </w:pPr>
          </w:p>
        </w:tc>
      </w:tr>
      <w:tr w:rsidR="001E17A5" w:rsidRPr="001E17A5" w:rsidTr="00571A5C">
        <w:tc>
          <w:tcPr>
            <w:tcW w:w="709" w:type="dxa"/>
          </w:tcPr>
          <w:p w:rsidR="00825361" w:rsidRPr="00BA478C" w:rsidRDefault="00774ED7" w:rsidP="00BA478C">
            <w:pPr>
              <w:pStyle w:val="NormalWeb"/>
              <w:jc w:val="both"/>
              <w:rPr>
                <w:lang w:val="vi-VN" w:eastAsia="en-US"/>
              </w:rPr>
            </w:pPr>
            <w:r w:rsidRPr="001E17A5">
              <w:rPr>
                <w:lang w:val="en-US" w:eastAsia="en-US"/>
              </w:rPr>
              <w:lastRenderedPageBreak/>
              <w:t>1</w:t>
            </w:r>
            <w:r w:rsidR="00BA478C">
              <w:rPr>
                <w:lang w:val="vi-VN" w:eastAsia="en-US"/>
              </w:rPr>
              <w:t>2</w:t>
            </w:r>
          </w:p>
        </w:tc>
        <w:tc>
          <w:tcPr>
            <w:tcW w:w="5103" w:type="dxa"/>
          </w:tcPr>
          <w:p w:rsidR="00825361" w:rsidRPr="001E17A5" w:rsidRDefault="00825361" w:rsidP="00825361">
            <w:pPr>
              <w:pStyle w:val="ListParagraph"/>
              <w:spacing w:before="80" w:after="120"/>
              <w:ind w:left="0" w:firstLine="33"/>
              <w:jc w:val="both"/>
              <w:outlineLvl w:val="0"/>
              <w:rPr>
                <w:sz w:val="24"/>
                <w:szCs w:val="24"/>
              </w:rPr>
            </w:pPr>
            <w:r w:rsidRPr="001E17A5">
              <w:rPr>
                <w:sz w:val="24"/>
                <w:szCs w:val="24"/>
              </w:rPr>
              <w:t xml:space="preserve">Về việc bãi bỏ </w:t>
            </w:r>
            <w:r w:rsidRPr="001E17A5">
              <w:rPr>
                <w:i/>
                <w:sz w:val="24"/>
                <w:szCs w:val="24"/>
              </w:rPr>
              <w:t>“Quyết định số 05/2018/QĐ-UBND ngày 06/3/2018 của Ủy ban nhân dân tỉnh Bình Dương về việc quy định tiêu chí đánh giá, phân hạng các doanh nghiệp và xây dựng Sách Xanh tỉnh Bình Dương”</w:t>
            </w:r>
          </w:p>
        </w:tc>
        <w:tc>
          <w:tcPr>
            <w:tcW w:w="1843" w:type="dxa"/>
          </w:tcPr>
          <w:p w:rsidR="00825361" w:rsidRPr="001E17A5" w:rsidRDefault="00825361" w:rsidP="00C2423C">
            <w:pPr>
              <w:spacing w:line="276" w:lineRule="auto"/>
              <w:jc w:val="both"/>
              <w:rPr>
                <w:sz w:val="24"/>
                <w:szCs w:val="24"/>
              </w:rPr>
            </w:pPr>
            <w:r w:rsidRPr="001E17A5">
              <w:rPr>
                <w:sz w:val="24"/>
                <w:szCs w:val="24"/>
              </w:rPr>
              <w:t>Quyết định số 14/2022/QĐ-UBND ngày 11/5/2022 của Ủy ban nhân dân tỉnh</w:t>
            </w:r>
          </w:p>
        </w:tc>
        <w:tc>
          <w:tcPr>
            <w:tcW w:w="3969" w:type="dxa"/>
          </w:tcPr>
          <w:p w:rsidR="00825361" w:rsidRPr="001E17A5" w:rsidRDefault="00825361" w:rsidP="007F1BF2">
            <w:pPr>
              <w:spacing w:line="276" w:lineRule="auto"/>
              <w:jc w:val="both"/>
              <w:rPr>
                <w:sz w:val="24"/>
                <w:szCs w:val="24"/>
                <w:lang w:val="vi-VN"/>
              </w:rPr>
            </w:pPr>
          </w:p>
        </w:tc>
        <w:tc>
          <w:tcPr>
            <w:tcW w:w="2268" w:type="dxa"/>
          </w:tcPr>
          <w:p w:rsidR="00825361" w:rsidRPr="001E17A5" w:rsidRDefault="00825361" w:rsidP="007F1BF2">
            <w:pPr>
              <w:spacing w:line="276" w:lineRule="auto"/>
              <w:jc w:val="both"/>
              <w:rPr>
                <w:sz w:val="24"/>
                <w:szCs w:val="24"/>
                <w:lang w:val="vi-VN"/>
              </w:rPr>
            </w:pPr>
          </w:p>
        </w:tc>
      </w:tr>
      <w:tr w:rsidR="001E17A5" w:rsidRPr="001E17A5" w:rsidTr="00571A5C">
        <w:tc>
          <w:tcPr>
            <w:tcW w:w="709" w:type="dxa"/>
          </w:tcPr>
          <w:p w:rsidR="007F1BF2" w:rsidRPr="00BA478C" w:rsidRDefault="00774ED7" w:rsidP="00BA478C">
            <w:pPr>
              <w:pStyle w:val="NormalWeb"/>
              <w:jc w:val="both"/>
              <w:rPr>
                <w:lang w:val="vi-VN" w:eastAsia="en-US"/>
              </w:rPr>
            </w:pPr>
            <w:r w:rsidRPr="001E17A5">
              <w:rPr>
                <w:lang w:val="en-US" w:eastAsia="en-US"/>
              </w:rPr>
              <w:t>1</w:t>
            </w:r>
            <w:r w:rsidR="00BA478C">
              <w:rPr>
                <w:lang w:val="vi-VN" w:eastAsia="en-US"/>
              </w:rPr>
              <w:t>3</w:t>
            </w:r>
          </w:p>
        </w:tc>
        <w:tc>
          <w:tcPr>
            <w:tcW w:w="5103" w:type="dxa"/>
          </w:tcPr>
          <w:p w:rsidR="007F1BF2" w:rsidRPr="001E17A5" w:rsidRDefault="00C2423C" w:rsidP="007F1BF2">
            <w:pPr>
              <w:pStyle w:val="ListParagraph"/>
              <w:spacing w:before="80" w:after="120"/>
              <w:ind w:left="0" w:firstLine="33"/>
              <w:jc w:val="both"/>
              <w:outlineLvl w:val="0"/>
              <w:rPr>
                <w:sz w:val="24"/>
                <w:szCs w:val="24"/>
              </w:rPr>
            </w:pPr>
            <w:r w:rsidRPr="001E17A5">
              <w:rPr>
                <w:sz w:val="24"/>
                <w:szCs w:val="24"/>
              </w:rPr>
              <w:t>Quy định v</w:t>
            </w:r>
            <w:r w:rsidR="007F1BF2" w:rsidRPr="001E17A5">
              <w:rPr>
                <w:sz w:val="24"/>
                <w:szCs w:val="24"/>
              </w:rPr>
              <w:t>ề việc ủy quyền cho Sở Tài nguyên và Môi trường thẩm định, phê duyệt kết quả thẩm định báo cáo đánh giá tác động môi trường; phương án cải tạo, phục hồi môi trường trong hoạt động khai thác khoáng sản và cấp Giấy phép môi trường đối với các dự án thuộc thẩm quyền của Ủy ban nhân dân tỉnh.</w:t>
            </w:r>
          </w:p>
        </w:tc>
        <w:tc>
          <w:tcPr>
            <w:tcW w:w="1843" w:type="dxa"/>
          </w:tcPr>
          <w:p w:rsidR="007F1BF2" w:rsidRPr="001E17A5" w:rsidRDefault="00C2423C" w:rsidP="00C2423C">
            <w:pPr>
              <w:spacing w:line="276" w:lineRule="auto"/>
              <w:jc w:val="both"/>
              <w:rPr>
                <w:sz w:val="24"/>
                <w:szCs w:val="24"/>
                <w:lang w:val="vi-VN"/>
              </w:rPr>
            </w:pPr>
            <w:r w:rsidRPr="001E17A5">
              <w:rPr>
                <w:sz w:val="24"/>
                <w:szCs w:val="24"/>
              </w:rPr>
              <w:t>Quyết định số 975/QĐ-UBND ngày 26/4/2022 của Ủy ban nhân dân tỉnh</w:t>
            </w:r>
          </w:p>
        </w:tc>
        <w:tc>
          <w:tcPr>
            <w:tcW w:w="3969" w:type="dxa"/>
          </w:tcPr>
          <w:p w:rsidR="007F1BF2" w:rsidRPr="001E17A5" w:rsidRDefault="007F1BF2" w:rsidP="007F1BF2">
            <w:pPr>
              <w:spacing w:line="276" w:lineRule="auto"/>
              <w:jc w:val="both"/>
              <w:rPr>
                <w:sz w:val="24"/>
                <w:szCs w:val="24"/>
                <w:lang w:val="vi-VN"/>
              </w:rPr>
            </w:pPr>
          </w:p>
        </w:tc>
        <w:tc>
          <w:tcPr>
            <w:tcW w:w="2268" w:type="dxa"/>
          </w:tcPr>
          <w:p w:rsidR="007F1BF2" w:rsidRPr="001E17A5" w:rsidRDefault="007F1BF2" w:rsidP="007F1BF2">
            <w:pPr>
              <w:spacing w:line="276" w:lineRule="auto"/>
              <w:jc w:val="both"/>
              <w:rPr>
                <w:sz w:val="24"/>
                <w:szCs w:val="24"/>
                <w:lang w:val="vi-VN"/>
              </w:rPr>
            </w:pPr>
          </w:p>
        </w:tc>
      </w:tr>
      <w:tr w:rsidR="001E17A5" w:rsidRPr="001E17A5" w:rsidTr="00571A5C">
        <w:tc>
          <w:tcPr>
            <w:tcW w:w="709" w:type="dxa"/>
          </w:tcPr>
          <w:p w:rsidR="00774ED7" w:rsidRPr="00BA478C" w:rsidRDefault="00774ED7" w:rsidP="00BA478C">
            <w:pPr>
              <w:pStyle w:val="NormalWeb"/>
              <w:jc w:val="both"/>
              <w:rPr>
                <w:lang w:val="vi-VN" w:eastAsia="en-US"/>
              </w:rPr>
            </w:pPr>
            <w:r w:rsidRPr="001E17A5">
              <w:rPr>
                <w:lang w:val="en-US" w:eastAsia="en-US"/>
              </w:rPr>
              <w:t>1</w:t>
            </w:r>
            <w:r w:rsidR="00BA478C">
              <w:rPr>
                <w:lang w:val="vi-VN" w:eastAsia="en-US"/>
              </w:rPr>
              <w:t>4</w:t>
            </w:r>
          </w:p>
        </w:tc>
        <w:tc>
          <w:tcPr>
            <w:tcW w:w="5103" w:type="dxa"/>
          </w:tcPr>
          <w:p w:rsidR="00774ED7" w:rsidRPr="001E17A5" w:rsidRDefault="00774ED7" w:rsidP="007F1BF2">
            <w:pPr>
              <w:pStyle w:val="ListParagraph"/>
              <w:spacing w:before="80" w:after="120"/>
              <w:ind w:left="0" w:firstLine="33"/>
              <w:jc w:val="both"/>
              <w:outlineLvl w:val="0"/>
              <w:rPr>
                <w:sz w:val="24"/>
                <w:szCs w:val="24"/>
              </w:rPr>
            </w:pPr>
            <w:r w:rsidRPr="001E17A5">
              <w:rPr>
                <w:sz w:val="24"/>
                <w:szCs w:val="24"/>
              </w:rPr>
              <w:t>Quy định Bảo vệ môi trường</w:t>
            </w:r>
          </w:p>
        </w:tc>
        <w:tc>
          <w:tcPr>
            <w:tcW w:w="1843" w:type="dxa"/>
          </w:tcPr>
          <w:p w:rsidR="00774ED7" w:rsidRPr="001E17A5" w:rsidRDefault="00774ED7" w:rsidP="007F1BF2">
            <w:pPr>
              <w:spacing w:line="276" w:lineRule="auto"/>
              <w:jc w:val="center"/>
              <w:rPr>
                <w:sz w:val="24"/>
                <w:szCs w:val="24"/>
                <w:lang w:val="vi-VN"/>
              </w:rPr>
            </w:pPr>
          </w:p>
        </w:tc>
        <w:tc>
          <w:tcPr>
            <w:tcW w:w="3969" w:type="dxa"/>
          </w:tcPr>
          <w:p w:rsidR="00774ED7" w:rsidRPr="001E17A5" w:rsidRDefault="00774ED7" w:rsidP="00F0277C">
            <w:pPr>
              <w:pStyle w:val="ListParagraph"/>
              <w:spacing w:before="80" w:after="120"/>
              <w:ind w:left="0" w:firstLine="33"/>
              <w:jc w:val="both"/>
              <w:outlineLvl w:val="0"/>
              <w:rPr>
                <w:sz w:val="24"/>
                <w:szCs w:val="24"/>
              </w:rPr>
            </w:pPr>
            <w:r w:rsidRPr="001E17A5">
              <w:rPr>
                <w:sz w:val="24"/>
                <w:szCs w:val="24"/>
              </w:rPr>
              <w:t>Đang tham mưu Ủy ban nhân dân tỉnh dự thảo báo cáo Thường trực Tỉnh ủy xem xét và cho ý kiến chỉ đạo đối với dự thảo</w:t>
            </w:r>
          </w:p>
        </w:tc>
        <w:tc>
          <w:tcPr>
            <w:tcW w:w="2268" w:type="dxa"/>
          </w:tcPr>
          <w:p w:rsidR="00774ED7" w:rsidRPr="001E17A5" w:rsidRDefault="00774ED7" w:rsidP="007F1BF2">
            <w:pPr>
              <w:spacing w:line="276" w:lineRule="auto"/>
              <w:jc w:val="both"/>
              <w:rPr>
                <w:sz w:val="24"/>
                <w:szCs w:val="24"/>
                <w:lang w:val="vi-VN"/>
              </w:rPr>
            </w:pPr>
          </w:p>
        </w:tc>
      </w:tr>
      <w:tr w:rsidR="001E17A5" w:rsidRPr="001E17A5" w:rsidTr="00365942">
        <w:tc>
          <w:tcPr>
            <w:tcW w:w="13892" w:type="dxa"/>
            <w:gridSpan w:val="5"/>
          </w:tcPr>
          <w:p w:rsidR="007F1BF2" w:rsidRPr="001E17A5" w:rsidRDefault="007F1BF2" w:rsidP="007F1BF2">
            <w:pPr>
              <w:pStyle w:val="NormalWeb"/>
              <w:spacing w:before="120" w:after="120"/>
              <w:jc w:val="both"/>
              <w:rPr>
                <w:b/>
                <w:lang w:val="vi-VN" w:eastAsia="en-US"/>
              </w:rPr>
            </w:pPr>
            <w:r w:rsidRPr="001E17A5">
              <w:rPr>
                <w:b/>
                <w:lang w:val="vi-VN" w:eastAsia="en-US"/>
              </w:rPr>
              <w:t>C. LĨNH VỰC TÀI NGUYÊN NƯỚC</w:t>
            </w:r>
          </w:p>
        </w:tc>
      </w:tr>
      <w:tr w:rsidR="001E17A5" w:rsidRPr="001E17A5" w:rsidTr="00571A5C">
        <w:tc>
          <w:tcPr>
            <w:tcW w:w="709" w:type="dxa"/>
          </w:tcPr>
          <w:p w:rsidR="007F1BF2" w:rsidRPr="00BA478C" w:rsidRDefault="009807B4" w:rsidP="00BA478C">
            <w:pPr>
              <w:pStyle w:val="ListParagraph"/>
              <w:spacing w:before="80" w:after="120"/>
              <w:ind w:left="0"/>
              <w:jc w:val="both"/>
              <w:outlineLvl w:val="0"/>
              <w:rPr>
                <w:sz w:val="24"/>
                <w:szCs w:val="24"/>
                <w:lang w:val="vi-VN"/>
              </w:rPr>
            </w:pPr>
            <w:r w:rsidRPr="001E17A5">
              <w:rPr>
                <w:sz w:val="24"/>
                <w:szCs w:val="24"/>
              </w:rPr>
              <w:t>1</w:t>
            </w:r>
            <w:r w:rsidR="00BA478C">
              <w:rPr>
                <w:sz w:val="24"/>
                <w:szCs w:val="24"/>
                <w:lang w:val="vi-VN"/>
              </w:rPr>
              <w:t>5</w:t>
            </w:r>
          </w:p>
        </w:tc>
        <w:tc>
          <w:tcPr>
            <w:tcW w:w="5103" w:type="dxa"/>
          </w:tcPr>
          <w:p w:rsidR="007F1BF2" w:rsidRPr="001E17A5" w:rsidRDefault="00C165EB" w:rsidP="00421CEF">
            <w:pPr>
              <w:pStyle w:val="ListParagraph"/>
              <w:spacing w:before="80" w:after="120"/>
              <w:ind w:left="0"/>
              <w:jc w:val="both"/>
              <w:outlineLvl w:val="0"/>
              <w:rPr>
                <w:sz w:val="24"/>
                <w:szCs w:val="24"/>
              </w:rPr>
            </w:pPr>
            <w:r w:rsidRPr="001E17A5">
              <w:rPr>
                <w:sz w:val="24"/>
                <w:szCs w:val="24"/>
              </w:rPr>
              <w:t xml:space="preserve">Quy định </w:t>
            </w:r>
            <w:r w:rsidR="007F1BF2" w:rsidRPr="001E17A5">
              <w:rPr>
                <w:sz w:val="24"/>
                <w:szCs w:val="24"/>
              </w:rPr>
              <w:t>chế độ thu, nộp, quản lý và sử dụng một số loại phí trong lĩnh vực tài nguyên nước trên địa bàn tỉnh Bình Dương</w:t>
            </w:r>
          </w:p>
        </w:tc>
        <w:tc>
          <w:tcPr>
            <w:tcW w:w="1843" w:type="dxa"/>
          </w:tcPr>
          <w:p w:rsidR="007F1BF2" w:rsidRPr="001E17A5" w:rsidRDefault="00C165EB" w:rsidP="00C165EB">
            <w:pPr>
              <w:pStyle w:val="ListParagraph"/>
              <w:spacing w:before="80" w:after="120"/>
              <w:ind w:left="0"/>
              <w:jc w:val="both"/>
              <w:outlineLvl w:val="0"/>
              <w:rPr>
                <w:sz w:val="24"/>
                <w:szCs w:val="24"/>
              </w:rPr>
            </w:pPr>
            <w:r w:rsidRPr="001E17A5">
              <w:rPr>
                <w:sz w:val="24"/>
                <w:szCs w:val="24"/>
              </w:rPr>
              <w:t>Nghị quyết 16/2021/NQ-HĐND ngày 10/12/2021 của Hội đồng nhân dân tỉnh</w:t>
            </w:r>
          </w:p>
        </w:tc>
        <w:tc>
          <w:tcPr>
            <w:tcW w:w="3969" w:type="dxa"/>
          </w:tcPr>
          <w:p w:rsidR="007F1BF2" w:rsidRPr="001E17A5" w:rsidRDefault="007F1BF2" w:rsidP="00421CEF">
            <w:pPr>
              <w:pStyle w:val="ListParagraph"/>
              <w:spacing w:before="80" w:after="120"/>
              <w:ind w:left="0"/>
              <w:jc w:val="both"/>
              <w:outlineLvl w:val="0"/>
              <w:rPr>
                <w:sz w:val="24"/>
                <w:szCs w:val="24"/>
              </w:rPr>
            </w:pPr>
          </w:p>
        </w:tc>
        <w:tc>
          <w:tcPr>
            <w:tcW w:w="2268" w:type="dxa"/>
          </w:tcPr>
          <w:p w:rsidR="007F1BF2" w:rsidRPr="001E17A5" w:rsidRDefault="007F1BF2" w:rsidP="00421CEF">
            <w:pPr>
              <w:pStyle w:val="ListParagraph"/>
              <w:spacing w:before="80" w:after="120"/>
              <w:ind w:left="0"/>
              <w:jc w:val="both"/>
              <w:outlineLvl w:val="0"/>
              <w:rPr>
                <w:sz w:val="24"/>
                <w:szCs w:val="24"/>
              </w:rPr>
            </w:pPr>
          </w:p>
        </w:tc>
      </w:tr>
      <w:tr w:rsidR="001E17A5" w:rsidRPr="001E17A5" w:rsidTr="00571A5C">
        <w:tc>
          <w:tcPr>
            <w:tcW w:w="709" w:type="dxa"/>
          </w:tcPr>
          <w:p w:rsidR="0098686C" w:rsidRPr="00BA478C" w:rsidRDefault="009807B4" w:rsidP="00BA478C">
            <w:pPr>
              <w:pStyle w:val="ListParagraph"/>
              <w:spacing w:before="80" w:after="120"/>
              <w:ind w:left="0"/>
              <w:jc w:val="both"/>
              <w:outlineLvl w:val="0"/>
              <w:rPr>
                <w:sz w:val="24"/>
                <w:szCs w:val="24"/>
                <w:lang w:val="vi-VN"/>
              </w:rPr>
            </w:pPr>
            <w:r w:rsidRPr="001E17A5">
              <w:rPr>
                <w:sz w:val="24"/>
                <w:szCs w:val="24"/>
              </w:rPr>
              <w:t>1</w:t>
            </w:r>
            <w:r w:rsidR="00BA478C">
              <w:rPr>
                <w:sz w:val="24"/>
                <w:szCs w:val="24"/>
                <w:lang w:val="vi-VN"/>
              </w:rPr>
              <w:t>6</w:t>
            </w:r>
          </w:p>
        </w:tc>
        <w:tc>
          <w:tcPr>
            <w:tcW w:w="5103" w:type="dxa"/>
          </w:tcPr>
          <w:p w:rsidR="00C165EB" w:rsidRPr="001E17A5" w:rsidRDefault="00C165EB" w:rsidP="00C165EB">
            <w:pPr>
              <w:pStyle w:val="ListParagraph"/>
              <w:spacing w:before="80" w:after="120"/>
              <w:ind w:left="0"/>
              <w:jc w:val="both"/>
              <w:outlineLvl w:val="0"/>
              <w:rPr>
                <w:sz w:val="24"/>
                <w:szCs w:val="24"/>
              </w:rPr>
            </w:pPr>
            <w:r w:rsidRPr="001E17A5">
              <w:rPr>
                <w:sz w:val="24"/>
                <w:szCs w:val="24"/>
              </w:rPr>
              <w:t>Sửa đổi, bổ sung và bãi bỏ một số điều của Quy định quản lý tài nguyên nước trên địa bàn tỉnh Bình Dương ban hành kèm theo Quyết định số 04/2019/QĐ-UBND ngày 11/3/2019 của Ủy ban nhân dân tỉnh Bình Dương</w:t>
            </w:r>
          </w:p>
        </w:tc>
        <w:tc>
          <w:tcPr>
            <w:tcW w:w="1843" w:type="dxa"/>
          </w:tcPr>
          <w:p w:rsidR="0098686C" w:rsidRPr="001E17A5" w:rsidRDefault="00C165EB" w:rsidP="00421CEF">
            <w:pPr>
              <w:pStyle w:val="ListParagraph"/>
              <w:spacing w:before="80" w:after="120"/>
              <w:ind w:left="0"/>
              <w:jc w:val="both"/>
              <w:outlineLvl w:val="0"/>
              <w:rPr>
                <w:sz w:val="24"/>
                <w:szCs w:val="24"/>
              </w:rPr>
            </w:pPr>
            <w:r w:rsidRPr="001E17A5">
              <w:rPr>
                <w:sz w:val="24"/>
                <w:szCs w:val="24"/>
              </w:rPr>
              <w:t>Quyết định số 24/2022/QĐ-UBND ngày 29/8/2022 của Ủy ban nhân dân tỉnh</w:t>
            </w:r>
          </w:p>
        </w:tc>
        <w:tc>
          <w:tcPr>
            <w:tcW w:w="3969" w:type="dxa"/>
          </w:tcPr>
          <w:p w:rsidR="0098686C" w:rsidRPr="001E17A5" w:rsidRDefault="0098686C" w:rsidP="00421CEF">
            <w:pPr>
              <w:pStyle w:val="ListParagraph"/>
              <w:spacing w:before="80" w:after="120"/>
              <w:ind w:left="0"/>
              <w:jc w:val="both"/>
              <w:outlineLvl w:val="0"/>
              <w:rPr>
                <w:sz w:val="24"/>
                <w:szCs w:val="24"/>
              </w:rPr>
            </w:pPr>
          </w:p>
        </w:tc>
        <w:tc>
          <w:tcPr>
            <w:tcW w:w="2268" w:type="dxa"/>
          </w:tcPr>
          <w:p w:rsidR="0098686C" w:rsidRPr="001E17A5" w:rsidRDefault="0098686C" w:rsidP="00421CEF">
            <w:pPr>
              <w:pStyle w:val="ListParagraph"/>
              <w:spacing w:before="80" w:after="120"/>
              <w:ind w:left="0"/>
              <w:jc w:val="both"/>
              <w:outlineLvl w:val="0"/>
              <w:rPr>
                <w:sz w:val="24"/>
                <w:szCs w:val="24"/>
              </w:rPr>
            </w:pPr>
          </w:p>
        </w:tc>
      </w:tr>
      <w:tr w:rsidR="00782213" w:rsidRPr="001E17A5" w:rsidTr="00571A5C">
        <w:tc>
          <w:tcPr>
            <w:tcW w:w="709" w:type="dxa"/>
          </w:tcPr>
          <w:p w:rsidR="00782213" w:rsidRPr="00BA478C" w:rsidRDefault="00774ED7" w:rsidP="00BA478C">
            <w:pPr>
              <w:pStyle w:val="ListParagraph"/>
              <w:spacing w:before="80" w:after="120"/>
              <w:ind w:left="0"/>
              <w:jc w:val="both"/>
              <w:outlineLvl w:val="0"/>
              <w:rPr>
                <w:sz w:val="24"/>
                <w:szCs w:val="24"/>
                <w:lang w:val="vi-VN"/>
              </w:rPr>
            </w:pPr>
            <w:r w:rsidRPr="001E17A5">
              <w:rPr>
                <w:sz w:val="24"/>
                <w:szCs w:val="24"/>
              </w:rPr>
              <w:t>1</w:t>
            </w:r>
            <w:r w:rsidR="00BA478C">
              <w:rPr>
                <w:sz w:val="24"/>
                <w:szCs w:val="24"/>
                <w:lang w:val="vi-VN"/>
              </w:rPr>
              <w:t>7</w:t>
            </w:r>
          </w:p>
        </w:tc>
        <w:tc>
          <w:tcPr>
            <w:tcW w:w="5103" w:type="dxa"/>
          </w:tcPr>
          <w:p w:rsidR="00782213" w:rsidRPr="001E17A5" w:rsidRDefault="00782213" w:rsidP="00782213">
            <w:pPr>
              <w:pStyle w:val="ListParagraph"/>
              <w:spacing w:before="80" w:after="120"/>
              <w:ind w:left="0"/>
              <w:jc w:val="both"/>
              <w:outlineLvl w:val="0"/>
              <w:rPr>
                <w:sz w:val="24"/>
                <w:szCs w:val="24"/>
              </w:rPr>
            </w:pPr>
            <w:r w:rsidRPr="001E17A5">
              <w:rPr>
                <w:sz w:val="24"/>
                <w:szCs w:val="24"/>
              </w:rPr>
              <w:t xml:space="preserve">Danh mục nguồn nước nội tỉnh trên địa bàn tỉnh đã được UBND tỉnh ban hành </w:t>
            </w:r>
          </w:p>
        </w:tc>
        <w:tc>
          <w:tcPr>
            <w:tcW w:w="1843" w:type="dxa"/>
          </w:tcPr>
          <w:p w:rsidR="00782213" w:rsidRPr="001E17A5" w:rsidRDefault="00782213" w:rsidP="00421CEF">
            <w:pPr>
              <w:pStyle w:val="ListParagraph"/>
              <w:spacing w:before="80" w:after="120"/>
              <w:ind w:left="0"/>
              <w:jc w:val="both"/>
              <w:outlineLvl w:val="0"/>
              <w:rPr>
                <w:sz w:val="24"/>
                <w:szCs w:val="24"/>
              </w:rPr>
            </w:pPr>
            <w:r w:rsidRPr="001E17A5">
              <w:rPr>
                <w:sz w:val="24"/>
                <w:szCs w:val="24"/>
              </w:rPr>
              <w:t>Quyết định số 1595/QĐ-</w:t>
            </w:r>
            <w:r w:rsidRPr="001E17A5">
              <w:rPr>
                <w:sz w:val="24"/>
                <w:szCs w:val="24"/>
              </w:rPr>
              <w:lastRenderedPageBreak/>
              <w:t>UBND ngày 05/7/2022 của Ủy ban nhân dân tỉnh</w:t>
            </w:r>
          </w:p>
        </w:tc>
        <w:tc>
          <w:tcPr>
            <w:tcW w:w="3969" w:type="dxa"/>
          </w:tcPr>
          <w:p w:rsidR="00782213" w:rsidRPr="001E17A5" w:rsidRDefault="00782213" w:rsidP="00421CEF">
            <w:pPr>
              <w:pStyle w:val="ListParagraph"/>
              <w:spacing w:before="80" w:after="120"/>
              <w:ind w:left="0"/>
              <w:jc w:val="both"/>
              <w:outlineLvl w:val="0"/>
              <w:rPr>
                <w:sz w:val="24"/>
                <w:szCs w:val="24"/>
              </w:rPr>
            </w:pPr>
          </w:p>
        </w:tc>
        <w:tc>
          <w:tcPr>
            <w:tcW w:w="2268" w:type="dxa"/>
          </w:tcPr>
          <w:p w:rsidR="00782213" w:rsidRPr="001E17A5" w:rsidRDefault="00782213" w:rsidP="00421CEF">
            <w:pPr>
              <w:pStyle w:val="ListParagraph"/>
              <w:spacing w:before="80" w:after="120"/>
              <w:ind w:left="0"/>
              <w:jc w:val="both"/>
              <w:outlineLvl w:val="0"/>
              <w:rPr>
                <w:sz w:val="24"/>
                <w:szCs w:val="24"/>
              </w:rPr>
            </w:pPr>
          </w:p>
        </w:tc>
      </w:tr>
      <w:tr w:rsidR="006E7D28" w:rsidRPr="001E17A5" w:rsidTr="00571A5C">
        <w:tc>
          <w:tcPr>
            <w:tcW w:w="709" w:type="dxa"/>
          </w:tcPr>
          <w:p w:rsidR="006E7D28" w:rsidRPr="00BA478C" w:rsidRDefault="006E7D28" w:rsidP="00BA478C">
            <w:pPr>
              <w:pStyle w:val="ListParagraph"/>
              <w:spacing w:before="80" w:after="120"/>
              <w:ind w:left="0"/>
              <w:jc w:val="both"/>
              <w:outlineLvl w:val="0"/>
              <w:rPr>
                <w:sz w:val="24"/>
                <w:szCs w:val="24"/>
                <w:lang w:val="vi-VN"/>
              </w:rPr>
            </w:pPr>
            <w:r>
              <w:rPr>
                <w:sz w:val="24"/>
                <w:szCs w:val="24"/>
              </w:rPr>
              <w:lastRenderedPageBreak/>
              <w:t>1</w:t>
            </w:r>
            <w:r w:rsidR="00BA478C">
              <w:rPr>
                <w:sz w:val="24"/>
                <w:szCs w:val="24"/>
                <w:lang w:val="vi-VN"/>
              </w:rPr>
              <w:t>8</w:t>
            </w:r>
          </w:p>
        </w:tc>
        <w:tc>
          <w:tcPr>
            <w:tcW w:w="5103" w:type="dxa"/>
          </w:tcPr>
          <w:p w:rsidR="006E7D28" w:rsidRPr="001E17A5" w:rsidRDefault="006E7D28" w:rsidP="00782213">
            <w:pPr>
              <w:pStyle w:val="ListParagraph"/>
              <w:spacing w:before="80" w:after="120"/>
              <w:ind w:left="0"/>
              <w:jc w:val="both"/>
              <w:outlineLvl w:val="0"/>
              <w:rPr>
                <w:sz w:val="24"/>
                <w:szCs w:val="24"/>
              </w:rPr>
            </w:pPr>
            <w:r>
              <w:rPr>
                <w:sz w:val="24"/>
                <w:szCs w:val="24"/>
              </w:rPr>
              <w:t>C</w:t>
            </w:r>
            <w:r w:rsidRPr="006E7D28">
              <w:rPr>
                <w:sz w:val="24"/>
                <w:szCs w:val="24"/>
              </w:rPr>
              <w:t>ho phép tiếp tục thực hiện Quy hoạch thăm dò, khai thác và sử dụng khoáng sản làm vật liệu xây dựng thông thường tỉnh Bình Dương giai đoạn 2016 – 2020, tầm nhìn đến năm 2030</w:t>
            </w:r>
          </w:p>
        </w:tc>
        <w:tc>
          <w:tcPr>
            <w:tcW w:w="1843" w:type="dxa"/>
          </w:tcPr>
          <w:p w:rsidR="006E7D28" w:rsidRPr="001E17A5" w:rsidRDefault="006E7D28" w:rsidP="006E7D28">
            <w:pPr>
              <w:pStyle w:val="ListParagraph"/>
              <w:spacing w:before="80" w:after="120"/>
              <w:ind w:left="0"/>
              <w:jc w:val="both"/>
              <w:outlineLvl w:val="0"/>
              <w:rPr>
                <w:sz w:val="24"/>
                <w:szCs w:val="24"/>
              </w:rPr>
            </w:pPr>
            <w:r w:rsidRPr="001E17A5">
              <w:rPr>
                <w:sz w:val="24"/>
                <w:szCs w:val="24"/>
              </w:rPr>
              <w:t xml:space="preserve">Quyết định số </w:t>
            </w:r>
            <w:r>
              <w:rPr>
                <w:sz w:val="24"/>
                <w:szCs w:val="24"/>
              </w:rPr>
              <w:t>2823</w:t>
            </w:r>
            <w:r w:rsidRPr="001E17A5">
              <w:rPr>
                <w:sz w:val="24"/>
                <w:szCs w:val="24"/>
              </w:rPr>
              <w:t xml:space="preserve">/QĐ-UBND ngày </w:t>
            </w:r>
            <w:r>
              <w:rPr>
                <w:sz w:val="24"/>
                <w:szCs w:val="24"/>
              </w:rPr>
              <w:t>02/11</w:t>
            </w:r>
            <w:r w:rsidRPr="001E17A5">
              <w:rPr>
                <w:sz w:val="24"/>
                <w:szCs w:val="24"/>
              </w:rPr>
              <w:t>/2022 của Ủy ban nhân dân tỉnh</w:t>
            </w:r>
          </w:p>
        </w:tc>
        <w:tc>
          <w:tcPr>
            <w:tcW w:w="3969" w:type="dxa"/>
          </w:tcPr>
          <w:p w:rsidR="006E7D28" w:rsidRPr="001E17A5" w:rsidRDefault="006E7D28" w:rsidP="00421CEF">
            <w:pPr>
              <w:pStyle w:val="ListParagraph"/>
              <w:spacing w:before="80" w:after="120"/>
              <w:ind w:left="0"/>
              <w:jc w:val="both"/>
              <w:outlineLvl w:val="0"/>
              <w:rPr>
                <w:sz w:val="24"/>
                <w:szCs w:val="24"/>
              </w:rPr>
            </w:pPr>
          </w:p>
        </w:tc>
        <w:tc>
          <w:tcPr>
            <w:tcW w:w="2268" w:type="dxa"/>
          </w:tcPr>
          <w:p w:rsidR="006E7D28" w:rsidRPr="001E17A5" w:rsidRDefault="006E7D28" w:rsidP="00421CEF">
            <w:pPr>
              <w:pStyle w:val="ListParagraph"/>
              <w:spacing w:before="80" w:after="120"/>
              <w:ind w:left="0"/>
              <w:jc w:val="both"/>
              <w:outlineLvl w:val="0"/>
              <w:rPr>
                <w:sz w:val="24"/>
                <w:szCs w:val="24"/>
              </w:rPr>
            </w:pPr>
          </w:p>
        </w:tc>
      </w:tr>
    </w:tbl>
    <w:p w:rsidR="009239DE" w:rsidRPr="001E17A5" w:rsidRDefault="009239DE" w:rsidP="00870A9D">
      <w:pPr>
        <w:jc w:val="both"/>
        <w:rPr>
          <w:b/>
          <w:sz w:val="18"/>
          <w:szCs w:val="16"/>
          <w:lang w:val="vi-VN"/>
        </w:rPr>
      </w:pPr>
    </w:p>
    <w:sectPr w:rsidR="009239DE" w:rsidRPr="001E17A5" w:rsidSect="007F1BF2">
      <w:pgSz w:w="15840" w:h="12240" w:orient="landscape"/>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C8D" w:rsidRDefault="00167C8D" w:rsidP="005F53FF">
      <w:r>
        <w:separator/>
      </w:r>
    </w:p>
  </w:endnote>
  <w:endnote w:type="continuationSeparator" w:id="0">
    <w:p w:rsidR="00167C8D" w:rsidRDefault="00167C8D" w:rsidP="005F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C8D" w:rsidRDefault="00167C8D" w:rsidP="005F53FF">
      <w:r>
        <w:separator/>
      </w:r>
    </w:p>
  </w:footnote>
  <w:footnote w:type="continuationSeparator" w:id="0">
    <w:p w:rsidR="00167C8D" w:rsidRDefault="00167C8D" w:rsidP="005F5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199"/>
    <w:rsid w:val="0001433B"/>
    <w:rsid w:val="00030723"/>
    <w:rsid w:val="000340F2"/>
    <w:rsid w:val="0004419D"/>
    <w:rsid w:val="0004537A"/>
    <w:rsid w:val="0007313F"/>
    <w:rsid w:val="00087204"/>
    <w:rsid w:val="000877D9"/>
    <w:rsid w:val="00095280"/>
    <w:rsid w:val="000A779C"/>
    <w:rsid w:val="000B3FAF"/>
    <w:rsid w:val="000C3FCB"/>
    <w:rsid w:val="000C6F97"/>
    <w:rsid w:val="000E6444"/>
    <w:rsid w:val="000E7BDF"/>
    <w:rsid w:val="00147594"/>
    <w:rsid w:val="00156B94"/>
    <w:rsid w:val="00165799"/>
    <w:rsid w:val="00167C8D"/>
    <w:rsid w:val="001B1AB9"/>
    <w:rsid w:val="001C168F"/>
    <w:rsid w:val="001C444F"/>
    <w:rsid w:val="001E17A5"/>
    <w:rsid w:val="00230622"/>
    <w:rsid w:val="002314A9"/>
    <w:rsid w:val="002346B2"/>
    <w:rsid w:val="002458EE"/>
    <w:rsid w:val="002842A3"/>
    <w:rsid w:val="00287826"/>
    <w:rsid w:val="002910EA"/>
    <w:rsid w:val="003007EA"/>
    <w:rsid w:val="00360272"/>
    <w:rsid w:val="00365942"/>
    <w:rsid w:val="00367D63"/>
    <w:rsid w:val="003E4298"/>
    <w:rsid w:val="00405D39"/>
    <w:rsid w:val="0041079C"/>
    <w:rsid w:val="004166CE"/>
    <w:rsid w:val="00421CEF"/>
    <w:rsid w:val="0045423E"/>
    <w:rsid w:val="0045480B"/>
    <w:rsid w:val="00465857"/>
    <w:rsid w:val="00485DB0"/>
    <w:rsid w:val="00492192"/>
    <w:rsid w:val="004A46F2"/>
    <w:rsid w:val="004A7E32"/>
    <w:rsid w:val="00502428"/>
    <w:rsid w:val="00522262"/>
    <w:rsid w:val="005401A1"/>
    <w:rsid w:val="005428E3"/>
    <w:rsid w:val="00554C78"/>
    <w:rsid w:val="00566A00"/>
    <w:rsid w:val="00571A5C"/>
    <w:rsid w:val="005A4A4A"/>
    <w:rsid w:val="005A69A6"/>
    <w:rsid w:val="005B4016"/>
    <w:rsid w:val="005B62C0"/>
    <w:rsid w:val="005F4718"/>
    <w:rsid w:val="005F53FF"/>
    <w:rsid w:val="0064209C"/>
    <w:rsid w:val="00646C16"/>
    <w:rsid w:val="006A2D7B"/>
    <w:rsid w:val="006A42FB"/>
    <w:rsid w:val="006D3296"/>
    <w:rsid w:val="006E7D28"/>
    <w:rsid w:val="006F2B0F"/>
    <w:rsid w:val="00701AA2"/>
    <w:rsid w:val="00715E0F"/>
    <w:rsid w:val="00727629"/>
    <w:rsid w:val="00756983"/>
    <w:rsid w:val="0077180A"/>
    <w:rsid w:val="00774ED7"/>
    <w:rsid w:val="00782213"/>
    <w:rsid w:val="00791233"/>
    <w:rsid w:val="007C5199"/>
    <w:rsid w:val="007D2F1B"/>
    <w:rsid w:val="007F1BF2"/>
    <w:rsid w:val="00810D0F"/>
    <w:rsid w:val="0081526A"/>
    <w:rsid w:val="00825361"/>
    <w:rsid w:val="00870A9D"/>
    <w:rsid w:val="008760CD"/>
    <w:rsid w:val="008940C6"/>
    <w:rsid w:val="00897BCE"/>
    <w:rsid w:val="008B2018"/>
    <w:rsid w:val="008C2229"/>
    <w:rsid w:val="008D40E9"/>
    <w:rsid w:val="008D4BEA"/>
    <w:rsid w:val="008D7FB3"/>
    <w:rsid w:val="008E6E98"/>
    <w:rsid w:val="00917990"/>
    <w:rsid w:val="009239DE"/>
    <w:rsid w:val="00927A3C"/>
    <w:rsid w:val="00940AA6"/>
    <w:rsid w:val="009807B4"/>
    <w:rsid w:val="0098556F"/>
    <w:rsid w:val="0098686C"/>
    <w:rsid w:val="009A3B13"/>
    <w:rsid w:val="009C095A"/>
    <w:rsid w:val="009F62B1"/>
    <w:rsid w:val="00A34325"/>
    <w:rsid w:val="00A63D60"/>
    <w:rsid w:val="00A679E3"/>
    <w:rsid w:val="00A952C3"/>
    <w:rsid w:val="00A9628D"/>
    <w:rsid w:val="00AA1B2F"/>
    <w:rsid w:val="00AA3045"/>
    <w:rsid w:val="00AE6C20"/>
    <w:rsid w:val="00B0484E"/>
    <w:rsid w:val="00B158C5"/>
    <w:rsid w:val="00B15E99"/>
    <w:rsid w:val="00B34CAB"/>
    <w:rsid w:val="00B5081D"/>
    <w:rsid w:val="00B74BE7"/>
    <w:rsid w:val="00B804DD"/>
    <w:rsid w:val="00B83155"/>
    <w:rsid w:val="00BA478C"/>
    <w:rsid w:val="00BB391D"/>
    <w:rsid w:val="00BC1EDD"/>
    <w:rsid w:val="00BC31DB"/>
    <w:rsid w:val="00BF6BB9"/>
    <w:rsid w:val="00C02D77"/>
    <w:rsid w:val="00C165EB"/>
    <w:rsid w:val="00C17A87"/>
    <w:rsid w:val="00C20BD0"/>
    <w:rsid w:val="00C2423C"/>
    <w:rsid w:val="00C44E7D"/>
    <w:rsid w:val="00C53965"/>
    <w:rsid w:val="00C672D8"/>
    <w:rsid w:val="00C7661E"/>
    <w:rsid w:val="00C77FB0"/>
    <w:rsid w:val="00C815CE"/>
    <w:rsid w:val="00CB0545"/>
    <w:rsid w:val="00CB3923"/>
    <w:rsid w:val="00CE4398"/>
    <w:rsid w:val="00D11D55"/>
    <w:rsid w:val="00D1303B"/>
    <w:rsid w:val="00D33466"/>
    <w:rsid w:val="00D65BF2"/>
    <w:rsid w:val="00D82302"/>
    <w:rsid w:val="00DE40D5"/>
    <w:rsid w:val="00DE7019"/>
    <w:rsid w:val="00E26D32"/>
    <w:rsid w:val="00E61319"/>
    <w:rsid w:val="00E847DA"/>
    <w:rsid w:val="00EF5229"/>
    <w:rsid w:val="00F0277C"/>
    <w:rsid w:val="00F06854"/>
    <w:rsid w:val="00F11BB3"/>
    <w:rsid w:val="00F31CB0"/>
    <w:rsid w:val="00F601AA"/>
    <w:rsid w:val="00F608FE"/>
    <w:rsid w:val="00F849CA"/>
    <w:rsid w:val="00F90BC4"/>
    <w:rsid w:val="00FC654C"/>
    <w:rsid w:val="00FD4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0172D-161D-4F0F-81F7-3517DB16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A9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870A9D"/>
    <w:pPr>
      <w:spacing w:line="180" w:lineRule="atLeast"/>
    </w:pPr>
    <w:rPr>
      <w:sz w:val="24"/>
      <w:szCs w:val="24"/>
      <w:lang w:val="x-none" w:eastAsia="x-none"/>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Footnote Text1,f"/>
    <w:qFormat/>
    <w:rsid w:val="00870A9D"/>
    <w:rPr>
      <w:rFonts w:cs="Times New Roman"/>
      <w:vertAlign w:val="superscript"/>
    </w:rPr>
  </w:style>
  <w:style w:type="character" w:customStyle="1" w:styleId="NormalWebChar">
    <w:name w:val="Normal (Web) Char"/>
    <w:link w:val="NormalWeb"/>
    <w:uiPriority w:val="99"/>
    <w:qFormat/>
    <w:locked/>
    <w:rsid w:val="00870A9D"/>
    <w:rPr>
      <w:rFonts w:ascii="Times New Roman" w:eastAsia="Times New Roman" w:hAnsi="Times New Roman" w:cs="Times New Roman"/>
      <w:sz w:val="24"/>
      <w:szCs w:val="24"/>
      <w:lang w:val="x-none" w:eastAsia="x-none"/>
    </w:rPr>
  </w:style>
  <w:style w:type="paragraph" w:styleId="ListParagraph">
    <w:name w:val="List Paragraph"/>
    <w:aliases w:val="CONTENT,List Paragraph 1,My checklist,N1,lp1,List Paragraph1,lp11,Bullet 1,b1 + Justified,b1,b1 Char,Bullet 11,b1 + Justified1,Bullet 111,b1 + Justified11,List Paragraph Char Char,SGLText List Paragraph,Normal Sentence,Citation List"/>
    <w:basedOn w:val="Normal"/>
    <w:link w:val="ListParagraphChar"/>
    <w:uiPriority w:val="34"/>
    <w:qFormat/>
    <w:rsid w:val="000B3FAF"/>
    <w:pPr>
      <w:ind w:left="720"/>
      <w:contextualSpacing/>
    </w:pPr>
  </w:style>
  <w:style w:type="paragraph" w:styleId="BodyTextIndent3">
    <w:name w:val="Body Text Indent 3"/>
    <w:basedOn w:val="Normal"/>
    <w:link w:val="BodyTextIndent3Char"/>
    <w:rsid w:val="00C672D8"/>
    <w:pPr>
      <w:spacing w:before="60"/>
      <w:ind w:firstLine="360"/>
      <w:jc w:val="both"/>
    </w:pPr>
    <w:rPr>
      <w:bCs/>
      <w:sz w:val="28"/>
      <w:szCs w:val="28"/>
      <w:lang w:val="x-none" w:eastAsia="x-none"/>
    </w:rPr>
  </w:style>
  <w:style w:type="character" w:customStyle="1" w:styleId="BodyTextIndent3Char">
    <w:name w:val="Body Text Indent 3 Char"/>
    <w:basedOn w:val="DefaultParagraphFont"/>
    <w:link w:val="BodyTextIndent3"/>
    <w:rsid w:val="00C672D8"/>
    <w:rPr>
      <w:rFonts w:ascii="Times New Roman" w:eastAsia="Times New Roman" w:hAnsi="Times New Roman" w:cs="Times New Roman"/>
      <w:bCs/>
      <w:sz w:val="28"/>
      <w:szCs w:val="28"/>
      <w:lang w:val="x-none" w:eastAsia="x-none"/>
    </w:rPr>
  </w:style>
  <w:style w:type="paragraph" w:styleId="BalloonText">
    <w:name w:val="Balloon Text"/>
    <w:basedOn w:val="Normal"/>
    <w:link w:val="BalloonTextChar"/>
    <w:uiPriority w:val="99"/>
    <w:semiHidden/>
    <w:unhideWhenUsed/>
    <w:rsid w:val="00F849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9C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5F53FF"/>
  </w:style>
  <w:style w:type="character" w:customStyle="1" w:styleId="FootnoteTextChar">
    <w:name w:val="Footnote Text Char"/>
    <w:basedOn w:val="DefaultParagraphFont"/>
    <w:link w:val="FootnoteText"/>
    <w:uiPriority w:val="99"/>
    <w:semiHidden/>
    <w:rsid w:val="005F53FF"/>
    <w:rPr>
      <w:rFonts w:ascii="Times New Roman" w:eastAsia="Times New Roman" w:hAnsi="Times New Roman" w:cs="Times New Roman"/>
      <w:sz w:val="20"/>
      <w:szCs w:val="20"/>
    </w:rPr>
  </w:style>
  <w:style w:type="character" w:customStyle="1" w:styleId="ListParagraphChar">
    <w:name w:val="List Paragraph Char"/>
    <w:aliases w:val="CONTENT Char,List Paragraph 1 Char,My checklist Char,N1 Char,lp1 Char,List Paragraph1 Char,lp11 Char,Bullet 1 Char,b1 + Justified Char,b1 Char1,b1 Char Char,Bullet 11 Char,b1 + Justified1 Char,Bullet 111 Char,b1 + Justified11 Char"/>
    <w:link w:val="ListParagraph"/>
    <w:uiPriority w:val="34"/>
    <w:rsid w:val="007F1BF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93640">
      <w:bodyDiv w:val="1"/>
      <w:marLeft w:val="0"/>
      <w:marRight w:val="0"/>
      <w:marTop w:val="0"/>
      <w:marBottom w:val="0"/>
      <w:divBdr>
        <w:top w:val="none" w:sz="0" w:space="0" w:color="auto"/>
        <w:left w:val="none" w:sz="0" w:space="0" w:color="auto"/>
        <w:bottom w:val="none" w:sz="0" w:space="0" w:color="auto"/>
        <w:right w:val="none" w:sz="0" w:space="0" w:color="auto"/>
      </w:divBdr>
    </w:div>
    <w:div w:id="1532836429">
      <w:bodyDiv w:val="1"/>
      <w:marLeft w:val="0"/>
      <w:marRight w:val="0"/>
      <w:marTop w:val="0"/>
      <w:marBottom w:val="0"/>
      <w:divBdr>
        <w:top w:val="none" w:sz="0" w:space="0" w:color="auto"/>
        <w:left w:val="none" w:sz="0" w:space="0" w:color="auto"/>
        <w:bottom w:val="none" w:sz="0" w:space="0" w:color="auto"/>
        <w:right w:val="none" w:sz="0" w:space="0" w:color="auto"/>
      </w:divBdr>
    </w:div>
    <w:div w:id="1568419068">
      <w:bodyDiv w:val="1"/>
      <w:marLeft w:val="0"/>
      <w:marRight w:val="0"/>
      <w:marTop w:val="0"/>
      <w:marBottom w:val="0"/>
      <w:divBdr>
        <w:top w:val="none" w:sz="0" w:space="0" w:color="auto"/>
        <w:left w:val="none" w:sz="0" w:space="0" w:color="auto"/>
        <w:bottom w:val="none" w:sz="0" w:space="0" w:color="auto"/>
        <w:right w:val="none" w:sz="0" w:space="0" w:color="auto"/>
      </w:divBdr>
    </w:div>
    <w:div w:id="163371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13220-B033-4EFC-B5C7-F3FAFF90A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4</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Bich. Diep</dc:creator>
  <cp:keywords/>
  <dc:description/>
  <cp:lastModifiedBy>DIEP</cp:lastModifiedBy>
  <cp:revision>111</cp:revision>
  <cp:lastPrinted>2022-12-01T03:06:00Z</cp:lastPrinted>
  <dcterms:created xsi:type="dcterms:W3CDTF">2021-04-01T03:26:00Z</dcterms:created>
  <dcterms:modified xsi:type="dcterms:W3CDTF">2022-12-01T03:20:00Z</dcterms:modified>
</cp:coreProperties>
</file>