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D8" w:rsidRPr="00B47E14" w:rsidRDefault="00C672D8" w:rsidP="00C672D8">
      <w:pPr>
        <w:pStyle w:val="BodyTextIndent3"/>
        <w:spacing w:after="60"/>
        <w:ind w:firstLine="0"/>
        <w:jc w:val="center"/>
        <w:rPr>
          <w:b/>
          <w:lang w:val="en-US"/>
        </w:rPr>
      </w:pPr>
      <w:bookmarkStart w:id="0" w:name="_GoBack"/>
      <w:bookmarkEnd w:id="0"/>
      <w:r w:rsidRPr="00B47E14">
        <w:rPr>
          <w:b/>
          <w:lang w:val="vi-VN"/>
        </w:rPr>
        <w:t>Phụ lục I</w:t>
      </w:r>
    </w:p>
    <w:p w:rsidR="00C672D8" w:rsidRPr="001E17A5" w:rsidRDefault="00B47E14" w:rsidP="009807B4">
      <w:pPr>
        <w:jc w:val="center"/>
        <w:rPr>
          <w:b/>
          <w:sz w:val="26"/>
          <w:lang w:val="vi-VN"/>
        </w:rPr>
      </w:pPr>
      <w:r w:rsidRPr="00B47E14">
        <w:rPr>
          <w:b/>
          <w:sz w:val="28"/>
          <w:szCs w:val="16"/>
          <w:lang w:val="vi-VN"/>
        </w:rPr>
        <w:t>KẾT QUẢ XÂY DỰNG VĂN BẢN PHÁP LUẬT CỦA NGÀNH TÀI NGUYÊN VÀ MÔI TRƯỜNG</w:t>
      </w:r>
      <w:r w:rsidR="009807B4" w:rsidRPr="00B47E14">
        <w:rPr>
          <w:b/>
          <w:sz w:val="28"/>
          <w:lang w:val="vi-VN"/>
        </w:rPr>
        <w:t xml:space="preserve"> </w:t>
      </w:r>
      <w:r w:rsidR="00AE6C20" w:rsidRPr="00B47E14">
        <w:rPr>
          <w:b/>
          <w:sz w:val="28"/>
          <w:lang w:val="vi-VN"/>
        </w:rPr>
        <w:t xml:space="preserve">NĂM </w:t>
      </w:r>
      <w:r w:rsidR="00C672D8" w:rsidRPr="00B47E14">
        <w:rPr>
          <w:b/>
          <w:sz w:val="28"/>
          <w:lang w:val="vi-VN"/>
        </w:rPr>
        <w:t>2</w:t>
      </w:r>
      <w:r w:rsidR="007F1BF2" w:rsidRPr="00B47E14">
        <w:rPr>
          <w:b/>
          <w:sz w:val="28"/>
          <w:lang w:val="vi-VN"/>
        </w:rPr>
        <w:t>02</w:t>
      </w:r>
      <w:r w:rsidRPr="00B47E14">
        <w:rPr>
          <w:b/>
          <w:sz w:val="28"/>
          <w:lang w:val="vi-VN"/>
        </w:rPr>
        <w:t>3</w:t>
      </w:r>
    </w:p>
    <w:p w:rsidR="006F2B0F" w:rsidRPr="007E0579" w:rsidRDefault="006F2B0F" w:rsidP="00B47E14">
      <w:pPr>
        <w:spacing w:before="120" w:after="120"/>
        <w:jc w:val="center"/>
        <w:rPr>
          <w:b/>
          <w:i/>
          <w:sz w:val="28"/>
        </w:rPr>
      </w:pPr>
      <w:r w:rsidRPr="007E0579">
        <w:rPr>
          <w:b/>
          <w:i/>
          <w:sz w:val="28"/>
        </w:rPr>
        <w:t xml:space="preserve">Tính đến ngày </w:t>
      </w:r>
      <w:r w:rsidR="00B47E14" w:rsidRPr="007E0579">
        <w:rPr>
          <w:b/>
          <w:i/>
          <w:sz w:val="28"/>
          <w:lang w:val="vi-VN"/>
        </w:rPr>
        <w:t>31/10/2023</w:t>
      </w:r>
    </w:p>
    <w:p w:rsidR="00F849CA" w:rsidRPr="00B47E14" w:rsidRDefault="00F849CA" w:rsidP="00F849CA">
      <w:pPr>
        <w:spacing w:line="240" w:lineRule="atLeast"/>
        <w:jc w:val="center"/>
        <w:rPr>
          <w:i/>
          <w:spacing w:val="2"/>
          <w:sz w:val="24"/>
          <w:szCs w:val="26"/>
          <w:lang w:val="vi-VN" w:eastAsia="es-ES_tradnl"/>
        </w:rPr>
      </w:pPr>
      <w:r w:rsidRPr="00B47E14">
        <w:rPr>
          <w:i/>
          <w:sz w:val="26"/>
          <w:szCs w:val="26"/>
          <w:lang w:val="vi-VN"/>
        </w:rPr>
        <w:t>(Đính kèm Báo cáo số            /BC-STNMT ngày   /    /</w:t>
      </w:r>
      <w:r w:rsidR="007F1BF2" w:rsidRPr="00B47E14">
        <w:rPr>
          <w:i/>
          <w:sz w:val="26"/>
          <w:szCs w:val="26"/>
          <w:lang w:val="vi-VN"/>
        </w:rPr>
        <w:t>202</w:t>
      </w:r>
      <w:r w:rsidR="00B47E14" w:rsidRPr="00B47E14">
        <w:rPr>
          <w:i/>
          <w:sz w:val="26"/>
          <w:szCs w:val="26"/>
          <w:lang w:val="vi-VN"/>
        </w:rPr>
        <w:t>3</w:t>
      </w:r>
      <w:r w:rsidRPr="00B47E14">
        <w:rPr>
          <w:i/>
          <w:sz w:val="26"/>
          <w:szCs w:val="26"/>
          <w:lang w:val="vi-VN"/>
        </w:rPr>
        <w:t xml:space="preserve"> của Sở Tài nguyên và Môi trường</w:t>
      </w:r>
      <w:r w:rsidR="007F1BF2" w:rsidRPr="00B47E14">
        <w:rPr>
          <w:i/>
          <w:sz w:val="26"/>
          <w:szCs w:val="26"/>
          <w:lang w:val="vi-VN"/>
        </w:rPr>
        <w:t xml:space="preserve"> </w:t>
      </w:r>
      <w:r w:rsidRPr="00B47E14">
        <w:rPr>
          <w:i/>
          <w:sz w:val="26"/>
          <w:szCs w:val="26"/>
          <w:lang w:val="vi-VN"/>
        </w:rPr>
        <w:t>tỉnh Bình Dương)</w:t>
      </w:r>
    </w:p>
    <w:p w:rsidR="00C77FB0" w:rsidRPr="003E6D3E" w:rsidRDefault="00C77FB0" w:rsidP="009239DE">
      <w:pPr>
        <w:rPr>
          <w:b/>
          <w:sz w:val="18"/>
          <w:szCs w:val="16"/>
        </w:rPr>
      </w:pPr>
    </w:p>
    <w:p w:rsidR="003E6D3E" w:rsidRDefault="003E6D3E" w:rsidP="003E6D3E">
      <w:pPr>
        <w:pStyle w:val="ListParagraph"/>
        <w:rPr>
          <w:b/>
          <w:sz w:val="28"/>
          <w:lang w:val="vi-VN" w:eastAsia="x-none"/>
        </w:rPr>
      </w:pPr>
    </w:p>
    <w:p w:rsidR="009239DE" w:rsidRDefault="003E6D3E" w:rsidP="003E6D3E">
      <w:pPr>
        <w:pStyle w:val="ListParagraph"/>
        <w:rPr>
          <w:b/>
          <w:sz w:val="28"/>
          <w:lang w:val="vi-VN" w:eastAsia="x-none"/>
        </w:rPr>
      </w:pPr>
      <w:r w:rsidRPr="003E6D3E">
        <w:rPr>
          <w:b/>
          <w:sz w:val="28"/>
          <w:lang w:val="vi-VN" w:eastAsia="x-none"/>
        </w:rPr>
        <w:t>A. KẾT QUẢ THAM MƯU XÂY DỰNG VĂN BẢN QUY PHẠM PHÁP LUẬT</w:t>
      </w:r>
      <w:r>
        <w:rPr>
          <w:b/>
          <w:sz w:val="28"/>
          <w:lang w:val="vi-VN" w:eastAsia="x-none"/>
        </w:rPr>
        <w:t xml:space="preserve"> (08 VĂN BẢN)</w:t>
      </w:r>
    </w:p>
    <w:p w:rsidR="003E6D3E" w:rsidRPr="003E6D3E" w:rsidRDefault="003E6D3E" w:rsidP="003E6D3E">
      <w:pPr>
        <w:pStyle w:val="ListParagraph"/>
        <w:rPr>
          <w:b/>
          <w:sz w:val="28"/>
          <w:lang w:val="vi-VN" w:eastAsia="x-none"/>
        </w:rPr>
      </w:pPr>
    </w:p>
    <w:tbl>
      <w:tblPr>
        <w:tblStyle w:val="TableGrid"/>
        <w:tblW w:w="0" w:type="auto"/>
        <w:tblInd w:w="817" w:type="dxa"/>
        <w:tblLook w:val="04A0" w:firstRow="1" w:lastRow="0" w:firstColumn="1" w:lastColumn="0" w:noHBand="0" w:noVBand="1"/>
      </w:tblPr>
      <w:tblGrid>
        <w:gridCol w:w="696"/>
        <w:gridCol w:w="3511"/>
        <w:gridCol w:w="9826"/>
      </w:tblGrid>
      <w:tr w:rsidR="00B47E14" w:rsidRPr="001E17A5" w:rsidTr="00B47E14">
        <w:trPr>
          <w:trHeight w:val="531"/>
        </w:trPr>
        <w:tc>
          <w:tcPr>
            <w:tcW w:w="696" w:type="dxa"/>
          </w:tcPr>
          <w:p w:rsidR="00B47E14" w:rsidRPr="003E6D3E" w:rsidRDefault="00B47E14" w:rsidP="00B12DA8">
            <w:pPr>
              <w:spacing w:before="120"/>
              <w:jc w:val="both"/>
              <w:rPr>
                <w:b/>
                <w:sz w:val="24"/>
                <w:szCs w:val="24"/>
                <w:lang w:val="vi-VN"/>
              </w:rPr>
            </w:pPr>
            <w:r w:rsidRPr="003E6D3E">
              <w:rPr>
                <w:b/>
                <w:sz w:val="24"/>
                <w:szCs w:val="24"/>
                <w:lang w:val="vi-VN"/>
              </w:rPr>
              <w:t>STT</w:t>
            </w:r>
          </w:p>
        </w:tc>
        <w:tc>
          <w:tcPr>
            <w:tcW w:w="3511" w:type="dxa"/>
          </w:tcPr>
          <w:p w:rsidR="00B47E14" w:rsidRDefault="00B47E14" w:rsidP="00B12DA8">
            <w:pPr>
              <w:spacing w:before="120"/>
              <w:jc w:val="both"/>
              <w:rPr>
                <w:b/>
                <w:sz w:val="24"/>
                <w:szCs w:val="24"/>
                <w:lang w:val="vi-VN"/>
              </w:rPr>
            </w:pPr>
            <w:r>
              <w:rPr>
                <w:b/>
                <w:sz w:val="24"/>
                <w:szCs w:val="24"/>
                <w:lang w:val="vi-VN"/>
              </w:rPr>
              <w:t>SỐ, KÝ HIỆU VÀ NGÀY BAN HÀNH VĂN BẢN</w:t>
            </w:r>
          </w:p>
          <w:p w:rsidR="00B47E14" w:rsidRPr="003E6D3E" w:rsidRDefault="00B47E14" w:rsidP="00B12DA8">
            <w:pPr>
              <w:spacing w:before="120"/>
              <w:jc w:val="both"/>
              <w:rPr>
                <w:b/>
                <w:sz w:val="24"/>
                <w:szCs w:val="24"/>
                <w:lang w:val="vi-VN"/>
              </w:rPr>
            </w:pPr>
          </w:p>
        </w:tc>
        <w:tc>
          <w:tcPr>
            <w:tcW w:w="9826" w:type="dxa"/>
          </w:tcPr>
          <w:p w:rsidR="00B47E14" w:rsidRPr="001E17A5" w:rsidRDefault="00B47E14" w:rsidP="00B12DA8">
            <w:pPr>
              <w:spacing w:before="120"/>
              <w:jc w:val="center"/>
              <w:rPr>
                <w:b/>
                <w:sz w:val="24"/>
                <w:szCs w:val="24"/>
                <w:lang w:val="vi-VN"/>
              </w:rPr>
            </w:pPr>
            <w:r>
              <w:rPr>
                <w:b/>
                <w:sz w:val="24"/>
                <w:szCs w:val="24"/>
                <w:lang w:val="vi-VN"/>
              </w:rPr>
              <w:t>NỘI DUNG TRÍCH YẾU VĂN BẢN</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1</w:t>
            </w:r>
          </w:p>
        </w:tc>
        <w:tc>
          <w:tcPr>
            <w:tcW w:w="3511" w:type="dxa"/>
          </w:tcPr>
          <w:p w:rsidR="00B47E14" w:rsidRPr="001E17A5" w:rsidRDefault="00B47E14" w:rsidP="00B12DA8">
            <w:pPr>
              <w:pStyle w:val="NormalWeb"/>
              <w:spacing w:before="120" w:after="120"/>
              <w:jc w:val="both"/>
              <w:rPr>
                <w:lang w:val="vi-VN" w:eastAsia="en-US"/>
              </w:rPr>
            </w:pPr>
            <w:r w:rsidRPr="00FA6214">
              <w:rPr>
                <w:color w:val="000000"/>
                <w:sz w:val="28"/>
                <w:szCs w:val="28"/>
              </w:rPr>
              <w:t>Quyết định số 10/2023/QĐ-UBND ngày 13/4/2023</w:t>
            </w:r>
          </w:p>
        </w:tc>
        <w:tc>
          <w:tcPr>
            <w:tcW w:w="9826" w:type="dxa"/>
          </w:tcPr>
          <w:p w:rsidR="00B47E14" w:rsidRPr="001E17A5" w:rsidRDefault="00B47E14" w:rsidP="00B12DA8">
            <w:pPr>
              <w:pStyle w:val="NormalWeb"/>
              <w:spacing w:before="120" w:after="120"/>
              <w:jc w:val="both"/>
              <w:rPr>
                <w:lang w:val="vi-VN" w:eastAsia="en-US"/>
              </w:rPr>
            </w:pPr>
            <w:r w:rsidRPr="00FA6214">
              <w:rPr>
                <w:color w:val="000000"/>
                <w:sz w:val="28"/>
                <w:szCs w:val="28"/>
              </w:rPr>
              <w:t xml:space="preserve">Về việc ban hành Quy định về chính sách, trình tự, thủ tục bồi thường, hỗ trợ và tái định cư khi Nhà nước thu hồi đất trên địa bàn tỉnh Bình Dương </w:t>
            </w:r>
            <w:r w:rsidRPr="00FA6214">
              <w:rPr>
                <w:i/>
                <w:color w:val="000000"/>
                <w:sz w:val="28"/>
                <w:szCs w:val="28"/>
                <w:lang w:val="en-US"/>
              </w:rPr>
              <w:t>(</w:t>
            </w:r>
            <w:r w:rsidRPr="00FA6214">
              <w:rPr>
                <w:i/>
                <w:color w:val="000000"/>
                <w:sz w:val="28"/>
                <w:szCs w:val="28"/>
              </w:rPr>
              <w:t>thay thế Quyết định số 51/2014/QĐ-UBND ngày 18/12/2014</w:t>
            </w:r>
            <w:r w:rsidRPr="00FA6214">
              <w:rPr>
                <w:i/>
                <w:color w:val="000000"/>
                <w:sz w:val="28"/>
                <w:szCs w:val="28"/>
                <w:lang w:val="en-US"/>
              </w:rPr>
              <w:t>)</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2</w:t>
            </w:r>
          </w:p>
        </w:tc>
        <w:tc>
          <w:tcPr>
            <w:tcW w:w="3511" w:type="dxa"/>
          </w:tcPr>
          <w:p w:rsidR="00B47E14" w:rsidRPr="001E17A5" w:rsidRDefault="00B47E14" w:rsidP="00B12DA8">
            <w:pPr>
              <w:pStyle w:val="NormalWeb"/>
              <w:spacing w:before="120" w:after="120"/>
              <w:jc w:val="both"/>
            </w:pPr>
            <w:r w:rsidRPr="00FA6214">
              <w:rPr>
                <w:iCs/>
                <w:color w:val="000000"/>
                <w:spacing w:val="-2"/>
                <w:sz w:val="28"/>
                <w:szCs w:val="28"/>
                <w:lang w:val="it-IT"/>
              </w:rPr>
              <w:t>Quyết định số 12/2023/QĐ-UBND ngày 15/5/2023</w:t>
            </w:r>
          </w:p>
        </w:tc>
        <w:tc>
          <w:tcPr>
            <w:tcW w:w="9826" w:type="dxa"/>
          </w:tcPr>
          <w:p w:rsidR="00B47E14" w:rsidRPr="001E17A5" w:rsidRDefault="00B47E14" w:rsidP="00B12DA8">
            <w:pPr>
              <w:pStyle w:val="NormalWeb"/>
              <w:spacing w:before="120" w:after="120"/>
              <w:jc w:val="both"/>
            </w:pPr>
            <w:r w:rsidRPr="00FA6214">
              <w:rPr>
                <w:iCs/>
                <w:color w:val="000000"/>
                <w:spacing w:val="-2"/>
                <w:sz w:val="28"/>
                <w:szCs w:val="28"/>
                <w:lang w:val="it-IT"/>
              </w:rPr>
              <w:t>Về việc Quy định điều kiện tách thửa đất, điều kiện hợp thửa đất và diện tích tối thiểu được tách thửa đối với từng loại đất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3</w:t>
            </w:r>
          </w:p>
        </w:tc>
        <w:tc>
          <w:tcPr>
            <w:tcW w:w="3511" w:type="dxa"/>
          </w:tcPr>
          <w:p w:rsidR="00B47E14" w:rsidRPr="001E17A5" w:rsidRDefault="00B47E14" w:rsidP="00B12DA8">
            <w:pPr>
              <w:pStyle w:val="NormalWeb"/>
              <w:spacing w:before="120" w:after="120"/>
              <w:jc w:val="both"/>
              <w:rPr>
                <w:lang w:val="vi-VN" w:eastAsia="en-US"/>
              </w:rPr>
            </w:pPr>
            <w:r w:rsidRPr="00FA6214">
              <w:rPr>
                <w:iCs/>
                <w:color w:val="000000"/>
                <w:spacing w:val="-2"/>
                <w:sz w:val="28"/>
                <w:szCs w:val="28"/>
                <w:lang w:val="it-IT"/>
              </w:rPr>
              <w:t>Quyết định số 22/2023/QĐ-UBND ngày 06/7/2023</w:t>
            </w:r>
          </w:p>
        </w:tc>
        <w:tc>
          <w:tcPr>
            <w:tcW w:w="9826" w:type="dxa"/>
          </w:tcPr>
          <w:p w:rsidR="00B47E14" w:rsidRPr="001E17A5" w:rsidRDefault="00B47E14" w:rsidP="00B12DA8">
            <w:pPr>
              <w:pStyle w:val="NormalWeb"/>
              <w:spacing w:before="120" w:after="120"/>
              <w:jc w:val="both"/>
              <w:rPr>
                <w:lang w:val="vi-VN" w:eastAsia="en-US"/>
              </w:rPr>
            </w:pPr>
            <w:r w:rsidRPr="00FA6214">
              <w:rPr>
                <w:iCs/>
                <w:color w:val="000000"/>
                <w:spacing w:val="-2"/>
                <w:sz w:val="28"/>
                <w:szCs w:val="28"/>
                <w:lang w:val="it-IT"/>
              </w:rPr>
              <w:t>Về ban hành Quy định bảo vệ môi trường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4</w:t>
            </w:r>
          </w:p>
        </w:tc>
        <w:tc>
          <w:tcPr>
            <w:tcW w:w="3511" w:type="dxa"/>
          </w:tcPr>
          <w:p w:rsidR="00B47E14" w:rsidRPr="001E17A5" w:rsidRDefault="00B47E14" w:rsidP="00B12DA8">
            <w:pPr>
              <w:pStyle w:val="NormalWeb"/>
              <w:spacing w:before="120" w:after="120"/>
              <w:jc w:val="both"/>
              <w:rPr>
                <w:lang w:val="vi-VN" w:eastAsia="en-US"/>
              </w:rPr>
            </w:pPr>
            <w:r w:rsidRPr="00FA6214">
              <w:rPr>
                <w:color w:val="000000"/>
                <w:sz w:val="28"/>
                <w:szCs w:val="28"/>
              </w:rPr>
              <w:t xml:space="preserve">Quyết định </w:t>
            </w:r>
            <w:r w:rsidRPr="00FA6214">
              <w:rPr>
                <w:color w:val="000000"/>
                <w:sz w:val="28"/>
                <w:szCs w:val="28"/>
                <w:lang w:val="vi-VN"/>
              </w:rPr>
              <w:t>số 26/2023/QĐ-UBND ngày 21/8/2023</w:t>
            </w:r>
          </w:p>
        </w:tc>
        <w:tc>
          <w:tcPr>
            <w:tcW w:w="9826" w:type="dxa"/>
          </w:tcPr>
          <w:p w:rsidR="00B47E14" w:rsidRPr="00B12DA8" w:rsidRDefault="00B47E14" w:rsidP="00B12DA8">
            <w:pPr>
              <w:pStyle w:val="NormalWeb"/>
              <w:spacing w:before="120" w:after="120"/>
              <w:jc w:val="both"/>
              <w:rPr>
                <w:iCs/>
                <w:color w:val="000000"/>
                <w:spacing w:val="-2"/>
                <w:sz w:val="28"/>
                <w:szCs w:val="28"/>
                <w:lang w:val="it-IT"/>
              </w:rPr>
            </w:pPr>
            <w:r w:rsidRPr="00B12DA8">
              <w:rPr>
                <w:iCs/>
                <w:color w:val="000000"/>
                <w:spacing w:val="-2"/>
                <w:sz w:val="28"/>
                <w:szCs w:val="28"/>
                <w:lang w:val="it-IT"/>
              </w:rPr>
              <w:t>Về bãi bỏ Quyết định số 04/2019/QĐ-UBND ngày 11/3/2019 và Quyết định số 24/2022/QĐ-UBND ngày 29/8/2022 của UBND tỉnh Bình Dương (bãi bỏ Quy định quản lý tài nguyên nước trên địa bàn Tỉnh)</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5</w:t>
            </w:r>
          </w:p>
        </w:tc>
        <w:tc>
          <w:tcPr>
            <w:tcW w:w="3511" w:type="dxa"/>
          </w:tcPr>
          <w:p w:rsidR="00B47E14" w:rsidRPr="001E17A5" w:rsidRDefault="00B47E14" w:rsidP="00B12DA8">
            <w:pPr>
              <w:pStyle w:val="NormalWeb"/>
              <w:spacing w:before="120" w:after="120"/>
              <w:jc w:val="both"/>
              <w:rPr>
                <w:lang w:val="vi-VN" w:eastAsia="en-US"/>
              </w:rPr>
            </w:pPr>
            <w:r w:rsidRPr="00FA6214">
              <w:rPr>
                <w:color w:val="000000"/>
                <w:sz w:val="28"/>
                <w:szCs w:val="28"/>
              </w:rPr>
              <w:t>Quyết định số 28/2023/QĐ-UBND ngày 18/9/2023</w:t>
            </w:r>
          </w:p>
        </w:tc>
        <w:tc>
          <w:tcPr>
            <w:tcW w:w="9826" w:type="dxa"/>
          </w:tcPr>
          <w:p w:rsidR="00B47E14" w:rsidRPr="001E17A5" w:rsidRDefault="00B47E14" w:rsidP="00B12DA8">
            <w:pPr>
              <w:pStyle w:val="NormalWeb"/>
              <w:spacing w:before="120" w:after="120"/>
              <w:jc w:val="both"/>
              <w:rPr>
                <w:lang w:val="vi-VN" w:eastAsia="en-US"/>
              </w:rPr>
            </w:pPr>
            <w:r w:rsidRPr="00FA6214">
              <w:rPr>
                <w:color w:val="000000"/>
                <w:sz w:val="28"/>
                <w:szCs w:val="28"/>
              </w:rPr>
              <w:t>Về Ban hành Đơn giá xây dựng, điều chỉnh bảng giá đất và định giá đất cụ thể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6</w:t>
            </w:r>
          </w:p>
        </w:tc>
        <w:tc>
          <w:tcPr>
            <w:tcW w:w="3511" w:type="dxa"/>
          </w:tcPr>
          <w:p w:rsidR="00B47E14" w:rsidRPr="001E17A5" w:rsidRDefault="00B47E14" w:rsidP="00B12DA8">
            <w:pPr>
              <w:pStyle w:val="NormalWeb"/>
              <w:spacing w:before="120" w:after="120"/>
              <w:jc w:val="both"/>
              <w:rPr>
                <w:lang w:val="vi-VN" w:eastAsia="en-US"/>
              </w:rPr>
            </w:pPr>
            <w:r w:rsidRPr="00FA6214">
              <w:rPr>
                <w:color w:val="000000"/>
                <w:sz w:val="28"/>
                <w:szCs w:val="28"/>
              </w:rPr>
              <w:t>Quyết định số 29/2023/QĐ-UBND ngày 18/9/2023</w:t>
            </w:r>
          </w:p>
        </w:tc>
        <w:tc>
          <w:tcPr>
            <w:tcW w:w="9826" w:type="dxa"/>
          </w:tcPr>
          <w:p w:rsidR="00B47E14" w:rsidRPr="001E17A5" w:rsidRDefault="00B47E14" w:rsidP="00B12DA8">
            <w:pPr>
              <w:pStyle w:val="NormalWeb"/>
              <w:spacing w:before="120" w:after="120"/>
              <w:jc w:val="both"/>
              <w:rPr>
                <w:lang w:val="vi-VN" w:eastAsia="en-US"/>
              </w:rPr>
            </w:pPr>
            <w:r w:rsidRPr="00FA6214">
              <w:rPr>
                <w:color w:val="000000"/>
                <w:sz w:val="28"/>
                <w:szCs w:val="28"/>
              </w:rPr>
              <w:t>Về Ban hành Quyết định Bộ đơn giá thu nhận, lưu trữ, bảo quản và cung cấp thông tin, dữ liệu tài nguyên và môi trường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7</w:t>
            </w:r>
          </w:p>
        </w:tc>
        <w:tc>
          <w:tcPr>
            <w:tcW w:w="3511" w:type="dxa"/>
          </w:tcPr>
          <w:p w:rsidR="00B47E14" w:rsidRPr="001E17A5" w:rsidRDefault="00B47E14" w:rsidP="00B12DA8">
            <w:pPr>
              <w:pStyle w:val="NormalWeb"/>
              <w:spacing w:before="120" w:after="120"/>
              <w:jc w:val="both"/>
              <w:rPr>
                <w:lang w:val="vi-VN" w:eastAsia="en-US"/>
              </w:rPr>
            </w:pPr>
            <w:r w:rsidRPr="00FA6214">
              <w:rPr>
                <w:color w:val="000000"/>
                <w:sz w:val="28"/>
                <w:szCs w:val="28"/>
              </w:rPr>
              <w:t>Quyết định số 30/2023/QĐ-</w:t>
            </w:r>
            <w:r w:rsidRPr="00FA6214">
              <w:rPr>
                <w:color w:val="000000"/>
                <w:sz w:val="28"/>
                <w:szCs w:val="28"/>
              </w:rPr>
              <w:lastRenderedPageBreak/>
              <w:t>UBND ngày 18/9/2023</w:t>
            </w:r>
          </w:p>
        </w:tc>
        <w:tc>
          <w:tcPr>
            <w:tcW w:w="9826" w:type="dxa"/>
          </w:tcPr>
          <w:p w:rsidR="00B47E14" w:rsidRPr="001E17A5" w:rsidRDefault="00B47E14" w:rsidP="00B12DA8">
            <w:pPr>
              <w:pStyle w:val="NormalWeb"/>
              <w:spacing w:before="120" w:after="120"/>
              <w:jc w:val="both"/>
              <w:rPr>
                <w:lang w:val="vi-VN" w:eastAsia="en-US"/>
              </w:rPr>
            </w:pPr>
            <w:r w:rsidRPr="00FA6214">
              <w:rPr>
                <w:color w:val="000000"/>
                <w:sz w:val="28"/>
                <w:szCs w:val="28"/>
              </w:rPr>
              <w:lastRenderedPageBreak/>
              <w:t xml:space="preserve">Về Quy chế thu thập, quản lý, khai thác, chia sẻ và sử dụng thông tin, dữ liệu tài nguyên và môi trường; khai thác và sử dụng cơ sở dữ liệu tài nguyên và môi trường </w:t>
            </w:r>
            <w:r w:rsidRPr="00FA6214">
              <w:rPr>
                <w:color w:val="000000"/>
                <w:sz w:val="28"/>
                <w:szCs w:val="28"/>
              </w:rPr>
              <w:lastRenderedPageBreak/>
              <w:t>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lastRenderedPageBreak/>
              <w:t>8</w:t>
            </w:r>
          </w:p>
        </w:tc>
        <w:tc>
          <w:tcPr>
            <w:tcW w:w="3511" w:type="dxa"/>
          </w:tcPr>
          <w:p w:rsidR="00B47E14" w:rsidRPr="001E17A5" w:rsidRDefault="00B47E14" w:rsidP="00B12DA8">
            <w:pPr>
              <w:pStyle w:val="NormalWeb"/>
              <w:spacing w:before="120" w:after="120"/>
              <w:jc w:val="both"/>
              <w:rPr>
                <w:lang w:val="vi-VN" w:eastAsia="en-US"/>
              </w:rPr>
            </w:pPr>
            <w:r w:rsidRPr="00FA6214">
              <w:rPr>
                <w:color w:val="000000"/>
                <w:sz w:val="28"/>
                <w:szCs w:val="28"/>
              </w:rPr>
              <w:t>Quyết định số 31/2023/QĐ-UBND ngày 18/9/2023</w:t>
            </w:r>
          </w:p>
        </w:tc>
        <w:tc>
          <w:tcPr>
            <w:tcW w:w="9826" w:type="dxa"/>
          </w:tcPr>
          <w:p w:rsidR="00B47E14" w:rsidRPr="001E17A5" w:rsidRDefault="00B47E14" w:rsidP="00B12DA8">
            <w:pPr>
              <w:pStyle w:val="NormalWeb"/>
              <w:spacing w:before="120" w:after="120"/>
              <w:jc w:val="both"/>
              <w:rPr>
                <w:lang w:val="vi-VN" w:eastAsia="en-US"/>
              </w:rPr>
            </w:pPr>
            <w:r w:rsidRPr="00FA6214">
              <w:rPr>
                <w:color w:val="000000"/>
                <w:sz w:val="28"/>
                <w:szCs w:val="28"/>
              </w:rPr>
              <w:t>Về Ban hành Bộ đơn giá xây dựng, duy trì, vận hành hệ thống thông tin ngành tài nguyên và môi trường trên địa bàn tỉnh Bình Dương</w:t>
            </w:r>
          </w:p>
        </w:tc>
      </w:tr>
    </w:tbl>
    <w:p w:rsidR="003E6D3E" w:rsidRDefault="003E6D3E" w:rsidP="003E6D3E">
      <w:pPr>
        <w:pStyle w:val="ListParagraph"/>
        <w:rPr>
          <w:b/>
          <w:sz w:val="28"/>
          <w:lang w:val="vi-VN" w:eastAsia="x-none"/>
        </w:rPr>
      </w:pPr>
    </w:p>
    <w:p w:rsidR="003E6D3E" w:rsidRPr="00B12DA8" w:rsidRDefault="003E6D3E" w:rsidP="00B12DA8">
      <w:pPr>
        <w:pStyle w:val="ListParagraph"/>
        <w:rPr>
          <w:b/>
          <w:sz w:val="28"/>
          <w:lang w:val="vi-VN" w:eastAsia="x-none"/>
        </w:rPr>
      </w:pPr>
      <w:r>
        <w:rPr>
          <w:b/>
          <w:sz w:val="28"/>
          <w:lang w:val="vi-VN" w:eastAsia="x-none"/>
        </w:rPr>
        <w:t>B</w:t>
      </w:r>
      <w:r w:rsidRPr="003E6D3E">
        <w:rPr>
          <w:b/>
          <w:sz w:val="28"/>
          <w:lang w:val="vi-VN" w:eastAsia="x-none"/>
        </w:rPr>
        <w:t xml:space="preserve">. KẾT QUẢ THAM MƯU </w:t>
      </w:r>
      <w:r w:rsidR="00B12DA8" w:rsidRPr="00B12DA8">
        <w:rPr>
          <w:b/>
          <w:color w:val="000000"/>
          <w:sz w:val="28"/>
          <w:szCs w:val="28"/>
        </w:rPr>
        <w:t xml:space="preserve">TỈNH ỦY, HĐND TỈNH, UBND TỈNH </w:t>
      </w:r>
      <w:r w:rsidR="00B12DA8" w:rsidRPr="00B12DA8">
        <w:rPr>
          <w:b/>
          <w:color w:val="000000"/>
          <w:sz w:val="28"/>
          <w:szCs w:val="28"/>
          <w:lang w:val="vi-VN"/>
        </w:rPr>
        <w:t>BAN HÀNH</w:t>
      </w:r>
      <w:r w:rsidR="00B12DA8">
        <w:rPr>
          <w:color w:val="000000"/>
          <w:sz w:val="28"/>
          <w:szCs w:val="28"/>
          <w:lang w:val="vi-VN"/>
        </w:rPr>
        <w:t xml:space="preserve"> </w:t>
      </w:r>
      <w:r w:rsidRPr="003E6D3E">
        <w:rPr>
          <w:b/>
          <w:sz w:val="28"/>
          <w:lang w:val="vi-VN" w:eastAsia="x-none"/>
        </w:rPr>
        <w:t xml:space="preserve">VĂN </w:t>
      </w:r>
      <w:r w:rsidR="00B12DA8" w:rsidRPr="00B12DA8">
        <w:rPr>
          <w:b/>
          <w:sz w:val="28"/>
          <w:lang w:val="vi-VN" w:eastAsia="x-none"/>
        </w:rPr>
        <w:t>BẢN</w:t>
      </w:r>
      <w:r w:rsidR="00B12DA8" w:rsidRPr="00B12DA8">
        <w:rPr>
          <w:b/>
          <w:color w:val="000000"/>
          <w:sz w:val="28"/>
          <w:szCs w:val="28"/>
        </w:rPr>
        <w:t xml:space="preserve"> LÃNH ĐẠO, CHỈ ĐẠO, ĐIỀU HÀNH</w:t>
      </w:r>
      <w:r w:rsidR="00B12DA8">
        <w:rPr>
          <w:b/>
          <w:color w:val="000000"/>
          <w:sz w:val="28"/>
          <w:szCs w:val="28"/>
          <w:lang w:val="vi-VN"/>
        </w:rPr>
        <w:t xml:space="preserve"> (10 VĂN BẢN)</w:t>
      </w:r>
    </w:p>
    <w:p w:rsidR="003E6D3E" w:rsidRPr="003E6D3E" w:rsidRDefault="003E6D3E" w:rsidP="003E6D3E">
      <w:pPr>
        <w:pStyle w:val="ListParagraph"/>
        <w:rPr>
          <w:b/>
          <w:sz w:val="28"/>
          <w:lang w:val="vi-VN" w:eastAsia="x-none"/>
        </w:rPr>
      </w:pPr>
    </w:p>
    <w:tbl>
      <w:tblPr>
        <w:tblStyle w:val="TableGrid"/>
        <w:tblW w:w="0" w:type="auto"/>
        <w:tblInd w:w="817" w:type="dxa"/>
        <w:tblLook w:val="04A0" w:firstRow="1" w:lastRow="0" w:firstColumn="1" w:lastColumn="0" w:noHBand="0" w:noVBand="1"/>
      </w:tblPr>
      <w:tblGrid>
        <w:gridCol w:w="696"/>
        <w:gridCol w:w="3511"/>
        <w:gridCol w:w="9826"/>
      </w:tblGrid>
      <w:tr w:rsidR="00B47E14" w:rsidRPr="001E17A5" w:rsidTr="00B47E14">
        <w:trPr>
          <w:trHeight w:val="531"/>
        </w:trPr>
        <w:tc>
          <w:tcPr>
            <w:tcW w:w="696" w:type="dxa"/>
          </w:tcPr>
          <w:p w:rsidR="00B47E14" w:rsidRPr="003E6D3E" w:rsidRDefault="00B47E14" w:rsidP="00B12DA8">
            <w:pPr>
              <w:spacing w:before="120"/>
              <w:jc w:val="both"/>
              <w:rPr>
                <w:b/>
                <w:sz w:val="24"/>
                <w:szCs w:val="24"/>
                <w:lang w:val="vi-VN"/>
              </w:rPr>
            </w:pPr>
            <w:r w:rsidRPr="003E6D3E">
              <w:rPr>
                <w:b/>
                <w:sz w:val="24"/>
                <w:szCs w:val="24"/>
                <w:lang w:val="vi-VN"/>
              </w:rPr>
              <w:t>STT</w:t>
            </w:r>
          </w:p>
        </w:tc>
        <w:tc>
          <w:tcPr>
            <w:tcW w:w="3511" w:type="dxa"/>
          </w:tcPr>
          <w:p w:rsidR="00B47E14" w:rsidRDefault="00B47E14" w:rsidP="00B12DA8">
            <w:pPr>
              <w:spacing w:before="120"/>
              <w:jc w:val="both"/>
              <w:rPr>
                <w:b/>
                <w:sz w:val="24"/>
                <w:szCs w:val="24"/>
                <w:lang w:val="vi-VN"/>
              </w:rPr>
            </w:pPr>
            <w:r>
              <w:rPr>
                <w:b/>
                <w:sz w:val="24"/>
                <w:szCs w:val="24"/>
                <w:lang w:val="vi-VN"/>
              </w:rPr>
              <w:t>SỐ, KÝ HIỆU VÀ NGÀY BAN HÀNH VĂN BẢN</w:t>
            </w:r>
          </w:p>
          <w:p w:rsidR="00B47E14" w:rsidRPr="003E6D3E" w:rsidRDefault="00B47E14" w:rsidP="00B12DA8">
            <w:pPr>
              <w:spacing w:before="120"/>
              <w:jc w:val="both"/>
              <w:rPr>
                <w:b/>
                <w:sz w:val="24"/>
                <w:szCs w:val="24"/>
                <w:lang w:val="vi-VN"/>
              </w:rPr>
            </w:pPr>
          </w:p>
        </w:tc>
        <w:tc>
          <w:tcPr>
            <w:tcW w:w="9826" w:type="dxa"/>
          </w:tcPr>
          <w:p w:rsidR="00B47E14" w:rsidRPr="001E17A5" w:rsidRDefault="00B47E14" w:rsidP="00B12DA8">
            <w:pPr>
              <w:spacing w:before="120"/>
              <w:jc w:val="center"/>
              <w:rPr>
                <w:b/>
                <w:sz w:val="24"/>
                <w:szCs w:val="24"/>
                <w:lang w:val="vi-VN"/>
              </w:rPr>
            </w:pPr>
            <w:r>
              <w:rPr>
                <w:b/>
                <w:sz w:val="24"/>
                <w:szCs w:val="24"/>
                <w:lang w:val="vi-VN"/>
              </w:rPr>
              <w:t>NỘI DUNG TRÍCH YẾU VĂN BẢN</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1</w:t>
            </w:r>
          </w:p>
        </w:tc>
        <w:tc>
          <w:tcPr>
            <w:tcW w:w="3511"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Chỉ thị số 33-CT/TU ngày 02/6/2023</w:t>
            </w:r>
          </w:p>
        </w:tc>
        <w:tc>
          <w:tcPr>
            <w:tcW w:w="9826"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Về việc tăng cường công tác quản lý chất thải rắn sinh hoạt và thực hiện phân loại chất thải rắn sinh hoạt tại nguồn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2</w:t>
            </w:r>
          </w:p>
        </w:tc>
        <w:tc>
          <w:tcPr>
            <w:tcW w:w="3511"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Nghị quyết số 26/NQ-HĐND ngày 26/7/2023</w:t>
            </w:r>
          </w:p>
        </w:tc>
        <w:tc>
          <w:tcPr>
            <w:tcW w:w="9826"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Về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3</w:t>
            </w:r>
          </w:p>
        </w:tc>
        <w:tc>
          <w:tcPr>
            <w:tcW w:w="3511"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Quyết định số 1392/QĐ-UBND ngày 01/6/2023</w:t>
            </w:r>
          </w:p>
        </w:tc>
        <w:tc>
          <w:tcPr>
            <w:tcW w:w="9826"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 xml:space="preserve">Về việc </w:t>
            </w:r>
            <w:r w:rsidRPr="00E44050">
              <w:rPr>
                <w:color w:val="000000"/>
                <w:sz w:val="28"/>
                <w:szCs w:val="28"/>
              </w:rPr>
              <w:t>ủy quyền UBND cấp huyện tổ chức xây dựng, thẩm định và phê duyệt giá đất cụ thể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4</w:t>
            </w:r>
          </w:p>
        </w:tc>
        <w:tc>
          <w:tcPr>
            <w:tcW w:w="3511"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Kế hoạch số 3152/KH-UBND ngày 26/6/2023</w:t>
            </w:r>
          </w:p>
        </w:tc>
        <w:tc>
          <w:tcPr>
            <w:tcW w:w="9826"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Về việc triển khai thực hiện kế hoạch Quốc gia ứng phó sự cố chất thải giai đoạn 2023 – 2030 trên địa bàn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5</w:t>
            </w:r>
          </w:p>
        </w:tc>
        <w:tc>
          <w:tcPr>
            <w:tcW w:w="3511"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Quyết định số 1734/QĐ-UBND ngày 04/7/2023</w:t>
            </w:r>
          </w:p>
        </w:tc>
        <w:tc>
          <w:tcPr>
            <w:tcW w:w="9826"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Về Kế hoạch phân loại chất thải rắn sinh hoạt tại nguồn tỉnh Bình Dương giai đoạn 2023 – 2025</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6</w:t>
            </w:r>
          </w:p>
        </w:tc>
        <w:tc>
          <w:tcPr>
            <w:tcW w:w="3511"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Quyết định số 1737/QĐ-UBND ngày 04/7/2023</w:t>
            </w:r>
          </w:p>
        </w:tc>
        <w:tc>
          <w:tcPr>
            <w:tcW w:w="9826"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 xml:space="preserve">Về ủy quyền cho UBND cấp huyện quyết định đối với các trường hợp quy định tại Khoản 1 Điều 18 Quy định ban </w:t>
            </w:r>
            <w:r w:rsidRPr="00E44050">
              <w:rPr>
                <w:color w:val="000000"/>
                <w:sz w:val="28"/>
                <w:szCs w:val="28"/>
              </w:rPr>
              <w:t>hành kèm theo Quyết định số 10/2023/QĐ-UBND ngày 13/4/2023 của UBND tỉnh</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7</w:t>
            </w:r>
          </w:p>
        </w:tc>
        <w:tc>
          <w:tcPr>
            <w:tcW w:w="3511"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Quyết định số 173</w:t>
            </w:r>
            <w:r w:rsidRPr="00E44050">
              <w:rPr>
                <w:color w:val="000000"/>
                <w:sz w:val="28"/>
                <w:szCs w:val="28"/>
              </w:rPr>
              <w:t>8</w:t>
            </w:r>
            <w:r w:rsidRPr="00FA6214">
              <w:rPr>
                <w:color w:val="000000"/>
                <w:sz w:val="28"/>
                <w:szCs w:val="28"/>
              </w:rPr>
              <w:t>/QĐ-UBND ngày 04/7/2023</w:t>
            </w:r>
          </w:p>
        </w:tc>
        <w:tc>
          <w:tcPr>
            <w:tcW w:w="9826"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 xml:space="preserve">Về ủy quyền cho UBND cấp huyện quyết định đối với các trường hợp quy định tại Khoản </w:t>
            </w:r>
            <w:r w:rsidRPr="00E44050">
              <w:rPr>
                <w:color w:val="000000"/>
                <w:sz w:val="28"/>
                <w:szCs w:val="28"/>
              </w:rPr>
              <w:t>2</w:t>
            </w:r>
            <w:r w:rsidRPr="00FA6214">
              <w:rPr>
                <w:color w:val="000000"/>
                <w:sz w:val="28"/>
                <w:szCs w:val="28"/>
              </w:rPr>
              <w:t xml:space="preserve"> Điều 18 Quy định ban </w:t>
            </w:r>
            <w:r w:rsidRPr="00E44050">
              <w:rPr>
                <w:color w:val="000000"/>
                <w:sz w:val="28"/>
                <w:szCs w:val="28"/>
              </w:rPr>
              <w:t xml:space="preserve">hành kèm theo Quyết định số 10/2023/QĐ-UBND </w:t>
            </w:r>
            <w:r w:rsidRPr="00E44050">
              <w:rPr>
                <w:color w:val="000000"/>
                <w:sz w:val="28"/>
                <w:szCs w:val="28"/>
              </w:rPr>
              <w:lastRenderedPageBreak/>
              <w:t>ngày 13/4/2023 của UBND tỉnh</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lastRenderedPageBreak/>
              <w:t>8</w:t>
            </w:r>
          </w:p>
        </w:tc>
        <w:tc>
          <w:tcPr>
            <w:tcW w:w="3511" w:type="dxa"/>
          </w:tcPr>
          <w:p w:rsidR="00B47E14" w:rsidRPr="00E44050" w:rsidRDefault="00B47E14" w:rsidP="00E44050">
            <w:pPr>
              <w:pStyle w:val="NormalWeb"/>
              <w:spacing w:before="120" w:after="120"/>
              <w:jc w:val="both"/>
              <w:rPr>
                <w:color w:val="000000"/>
                <w:sz w:val="28"/>
                <w:szCs w:val="28"/>
              </w:rPr>
            </w:pPr>
            <w:r w:rsidRPr="00E44050">
              <w:rPr>
                <w:color w:val="000000"/>
                <w:sz w:val="28"/>
                <w:szCs w:val="28"/>
              </w:rPr>
              <w:t xml:space="preserve">Quyết định </w:t>
            </w:r>
            <w:r w:rsidRPr="00FA6214">
              <w:rPr>
                <w:color w:val="000000"/>
                <w:sz w:val="28"/>
                <w:szCs w:val="28"/>
              </w:rPr>
              <w:t>số 2025/QĐ-UBND ngày 10/8/2023</w:t>
            </w:r>
          </w:p>
        </w:tc>
        <w:tc>
          <w:tcPr>
            <w:tcW w:w="9826"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 xml:space="preserve">Về </w:t>
            </w:r>
            <w:r w:rsidRPr="00E44050">
              <w:rPr>
                <w:color w:val="000000"/>
                <w:sz w:val="28"/>
                <w:szCs w:val="28"/>
              </w:rPr>
              <w:t>ban hành Điều lệ tổ chức và hoạt động của Quỹ Bảo vệ Môi trường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9</w:t>
            </w:r>
          </w:p>
        </w:tc>
        <w:tc>
          <w:tcPr>
            <w:tcW w:w="3511"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Quyết định số 2310/QĐ-UBND ngày 07/9/2023</w:t>
            </w:r>
          </w:p>
        </w:tc>
        <w:tc>
          <w:tcPr>
            <w:tcW w:w="9826"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Về kiện toàn Ban chỉ đạo bảo vệ môi trường và ứng phó với biến đổi khí hậu tỉnh Bình Dương</w:t>
            </w:r>
          </w:p>
        </w:tc>
      </w:tr>
      <w:tr w:rsidR="00B47E14" w:rsidRPr="001E17A5" w:rsidTr="00B47E14">
        <w:tc>
          <w:tcPr>
            <w:tcW w:w="696" w:type="dxa"/>
          </w:tcPr>
          <w:p w:rsidR="00B47E14" w:rsidRPr="00B12DA8" w:rsidRDefault="00B47E14" w:rsidP="00B12DA8">
            <w:pPr>
              <w:spacing w:before="120" w:after="120"/>
              <w:jc w:val="center"/>
              <w:rPr>
                <w:b/>
                <w:sz w:val="28"/>
                <w:szCs w:val="24"/>
                <w:lang w:val="vi-VN"/>
              </w:rPr>
            </w:pPr>
            <w:r w:rsidRPr="00B12DA8">
              <w:rPr>
                <w:b/>
                <w:sz w:val="28"/>
                <w:szCs w:val="24"/>
                <w:lang w:val="vi-VN"/>
              </w:rPr>
              <w:t>10</w:t>
            </w:r>
          </w:p>
        </w:tc>
        <w:tc>
          <w:tcPr>
            <w:tcW w:w="3511"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Quyết định số 2800/QĐ-UBND ngày 30/10/2023</w:t>
            </w:r>
          </w:p>
        </w:tc>
        <w:tc>
          <w:tcPr>
            <w:tcW w:w="9826" w:type="dxa"/>
          </w:tcPr>
          <w:p w:rsidR="00B47E14" w:rsidRPr="00E44050" w:rsidRDefault="00B47E14" w:rsidP="00E44050">
            <w:pPr>
              <w:pStyle w:val="NormalWeb"/>
              <w:spacing w:before="120" w:after="120"/>
              <w:jc w:val="both"/>
              <w:rPr>
                <w:color w:val="000000"/>
                <w:sz w:val="28"/>
                <w:szCs w:val="28"/>
              </w:rPr>
            </w:pPr>
            <w:r w:rsidRPr="00FA6214">
              <w:rPr>
                <w:color w:val="000000"/>
                <w:sz w:val="28"/>
                <w:szCs w:val="28"/>
              </w:rPr>
              <w:t>Về Ủy quyền cấp, gia hạn, điều chỉnh, đình chỉ, thu hồi giấy phép về tài nguyên nước cho một số trường hợp thuộc thẩm quyền của Ủy ban nhân dân tỉnh</w:t>
            </w:r>
          </w:p>
        </w:tc>
      </w:tr>
    </w:tbl>
    <w:p w:rsidR="009239DE" w:rsidRDefault="009239DE" w:rsidP="00870A9D">
      <w:pPr>
        <w:jc w:val="both"/>
        <w:rPr>
          <w:b/>
          <w:sz w:val="18"/>
          <w:szCs w:val="16"/>
          <w:lang w:val="vi-VN"/>
        </w:rPr>
      </w:pPr>
    </w:p>
    <w:p w:rsidR="00B47E14" w:rsidRDefault="00B47E14" w:rsidP="00870A9D">
      <w:pPr>
        <w:jc w:val="both"/>
        <w:rPr>
          <w:b/>
          <w:sz w:val="18"/>
          <w:szCs w:val="16"/>
          <w:lang w:val="vi-VN"/>
        </w:rPr>
      </w:pPr>
    </w:p>
    <w:p w:rsidR="00B47E14" w:rsidRPr="00B12DA8" w:rsidRDefault="00B47E14" w:rsidP="00B47E14">
      <w:pPr>
        <w:pStyle w:val="ListParagraph"/>
        <w:rPr>
          <w:b/>
          <w:sz w:val="28"/>
          <w:lang w:val="vi-VN" w:eastAsia="x-none"/>
        </w:rPr>
      </w:pPr>
      <w:r>
        <w:rPr>
          <w:b/>
          <w:sz w:val="28"/>
          <w:lang w:val="vi-VN" w:eastAsia="x-none"/>
        </w:rPr>
        <w:t>C</w:t>
      </w:r>
      <w:r w:rsidRPr="003E6D3E">
        <w:rPr>
          <w:b/>
          <w:sz w:val="28"/>
          <w:lang w:val="vi-VN" w:eastAsia="x-none"/>
        </w:rPr>
        <w:t xml:space="preserve">. </w:t>
      </w:r>
      <w:r>
        <w:rPr>
          <w:b/>
          <w:sz w:val="28"/>
          <w:lang w:val="vi-VN" w:eastAsia="x-none"/>
        </w:rPr>
        <w:t>MỘT SỐ VĂN BẢN ĐANG THAM MƯU XÂY DỰNG</w:t>
      </w:r>
      <w:r>
        <w:rPr>
          <w:b/>
          <w:color w:val="000000"/>
          <w:sz w:val="28"/>
          <w:szCs w:val="28"/>
          <w:lang w:val="vi-VN"/>
        </w:rPr>
        <w:t xml:space="preserve"> (07 QUY ĐỊNH)</w:t>
      </w:r>
    </w:p>
    <w:p w:rsidR="00B47E14" w:rsidRPr="003E6D3E" w:rsidRDefault="00B47E14" w:rsidP="00B47E14">
      <w:pPr>
        <w:pStyle w:val="ListParagraph"/>
        <w:rPr>
          <w:b/>
          <w:sz w:val="28"/>
          <w:lang w:val="vi-VN" w:eastAsia="x-none"/>
        </w:rPr>
      </w:pPr>
    </w:p>
    <w:tbl>
      <w:tblPr>
        <w:tblStyle w:val="TableGrid"/>
        <w:tblW w:w="0" w:type="auto"/>
        <w:tblInd w:w="817" w:type="dxa"/>
        <w:tblLook w:val="04A0" w:firstRow="1" w:lastRow="0" w:firstColumn="1" w:lastColumn="0" w:noHBand="0" w:noVBand="1"/>
      </w:tblPr>
      <w:tblGrid>
        <w:gridCol w:w="696"/>
        <w:gridCol w:w="13337"/>
      </w:tblGrid>
      <w:tr w:rsidR="00B47E14" w:rsidRPr="001E17A5" w:rsidTr="00B47E14">
        <w:trPr>
          <w:trHeight w:val="531"/>
        </w:trPr>
        <w:tc>
          <w:tcPr>
            <w:tcW w:w="696" w:type="dxa"/>
          </w:tcPr>
          <w:p w:rsidR="00B47E14" w:rsidRPr="003E6D3E" w:rsidRDefault="00B47E14" w:rsidP="00611EE7">
            <w:pPr>
              <w:spacing w:before="120"/>
              <w:jc w:val="both"/>
              <w:rPr>
                <w:b/>
                <w:sz w:val="24"/>
                <w:szCs w:val="24"/>
                <w:lang w:val="vi-VN"/>
              </w:rPr>
            </w:pPr>
            <w:r w:rsidRPr="003E6D3E">
              <w:rPr>
                <w:b/>
                <w:sz w:val="24"/>
                <w:szCs w:val="24"/>
                <w:lang w:val="vi-VN"/>
              </w:rPr>
              <w:t>STT</w:t>
            </w:r>
          </w:p>
        </w:tc>
        <w:tc>
          <w:tcPr>
            <w:tcW w:w="13337" w:type="dxa"/>
          </w:tcPr>
          <w:p w:rsidR="00B47E14" w:rsidRPr="001E17A5" w:rsidRDefault="00B47E14" w:rsidP="00B47E14">
            <w:pPr>
              <w:spacing w:before="120"/>
              <w:jc w:val="center"/>
              <w:rPr>
                <w:b/>
                <w:sz w:val="24"/>
                <w:szCs w:val="24"/>
                <w:lang w:val="vi-VN"/>
              </w:rPr>
            </w:pPr>
            <w:r>
              <w:rPr>
                <w:b/>
                <w:sz w:val="24"/>
                <w:szCs w:val="24"/>
                <w:lang w:val="vi-VN"/>
              </w:rPr>
              <w:t>NỘI DUNG QUY ĐỊNH</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1</w:t>
            </w:r>
          </w:p>
        </w:tc>
        <w:tc>
          <w:tcPr>
            <w:tcW w:w="13337" w:type="dxa"/>
          </w:tcPr>
          <w:p w:rsidR="00B47E14" w:rsidRPr="00E44050" w:rsidRDefault="00B47E14" w:rsidP="00B47E14">
            <w:pPr>
              <w:spacing w:before="120" w:after="120"/>
              <w:jc w:val="both"/>
              <w:rPr>
                <w:color w:val="000000"/>
                <w:sz w:val="28"/>
                <w:szCs w:val="28"/>
                <w:lang w:val="x-none" w:eastAsia="x-none"/>
              </w:rPr>
            </w:pPr>
            <w:r w:rsidRPr="00FA6214">
              <w:rPr>
                <w:bCs/>
                <w:color w:val="000000"/>
                <w:sz w:val="28"/>
                <w:szCs w:val="28"/>
              </w:rPr>
              <w:t>Nghị quyết điều chỉnh, bổ sung Nghị quyết số 20/2019/NQ-HĐND ngày 12/12/2019 của Hội đồng nhân dân tỉnh về Bảng giá các loại đất giai đoạn</w:t>
            </w:r>
            <w:r>
              <w:rPr>
                <w:bCs/>
                <w:color w:val="000000"/>
                <w:sz w:val="28"/>
                <w:szCs w:val="28"/>
              </w:rPr>
              <w:t xml:space="preserve"> 2020 – 2024 trên địa bàn tỉnh</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2</w:t>
            </w:r>
          </w:p>
        </w:tc>
        <w:tc>
          <w:tcPr>
            <w:tcW w:w="13337" w:type="dxa"/>
          </w:tcPr>
          <w:p w:rsidR="00B47E14" w:rsidRPr="00E44050" w:rsidRDefault="00B47E14" w:rsidP="00611EE7">
            <w:pPr>
              <w:pStyle w:val="NormalWeb"/>
              <w:spacing w:before="120" w:after="120"/>
              <w:jc w:val="both"/>
              <w:rPr>
                <w:color w:val="000000"/>
                <w:sz w:val="28"/>
                <w:szCs w:val="28"/>
              </w:rPr>
            </w:pPr>
            <w:r w:rsidRPr="00FA6214">
              <w:rPr>
                <w:color w:val="000000"/>
                <w:sz w:val="28"/>
                <w:szCs w:val="28"/>
              </w:rPr>
              <w:t xml:space="preserve">Quyết định bãi bỏ Quyết định số 37/2016/QĐ-UBND ngày 30/9/2016 quy định về quản lý và </w:t>
            </w:r>
            <w:r w:rsidRPr="00FA6214">
              <w:rPr>
                <w:bCs/>
                <w:color w:val="000000"/>
                <w:sz w:val="28"/>
                <w:szCs w:val="28"/>
              </w:rPr>
              <w:t>sử dụng quỹ đất do Nhà nước quản lý trên địa bàn tỉnh</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3</w:t>
            </w:r>
          </w:p>
        </w:tc>
        <w:tc>
          <w:tcPr>
            <w:tcW w:w="13337" w:type="dxa"/>
          </w:tcPr>
          <w:p w:rsidR="00B47E14" w:rsidRPr="00E44050" w:rsidRDefault="00B47E14" w:rsidP="00611EE7">
            <w:pPr>
              <w:pStyle w:val="NormalWeb"/>
              <w:spacing w:before="120" w:after="120"/>
              <w:jc w:val="both"/>
              <w:rPr>
                <w:color w:val="000000"/>
                <w:sz w:val="28"/>
                <w:szCs w:val="28"/>
              </w:rPr>
            </w:pPr>
            <w:r w:rsidRPr="00FA6214">
              <w:rPr>
                <w:color w:val="000000"/>
                <w:sz w:val="28"/>
                <w:szCs w:val="28"/>
              </w:rPr>
              <w:t>Nghị quyết quy định mức thu, chế độ thu, nộp và quản lý phí thẩm định báo cáo đánh giá tác động môi trường và phương án cải tạo, phục hồi môi trường trên địa bàn tỉnh Bình Dương</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4</w:t>
            </w:r>
          </w:p>
        </w:tc>
        <w:tc>
          <w:tcPr>
            <w:tcW w:w="13337" w:type="dxa"/>
          </w:tcPr>
          <w:p w:rsidR="00B47E14" w:rsidRPr="00E44050" w:rsidRDefault="00B47E14" w:rsidP="00611EE7">
            <w:pPr>
              <w:pStyle w:val="NormalWeb"/>
              <w:spacing w:before="120" w:after="120"/>
              <w:jc w:val="both"/>
              <w:rPr>
                <w:color w:val="000000"/>
                <w:sz w:val="28"/>
                <w:szCs w:val="28"/>
              </w:rPr>
            </w:pPr>
            <w:r w:rsidRPr="00FA6214">
              <w:rPr>
                <w:color w:val="000000"/>
                <w:sz w:val="28"/>
                <w:szCs w:val="28"/>
              </w:rPr>
              <w:t>Nghị quyết về phí bảo vệ môi trường đối với khai thác khoáng sản trên địa bàn Tỉnh</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5</w:t>
            </w:r>
          </w:p>
        </w:tc>
        <w:tc>
          <w:tcPr>
            <w:tcW w:w="13337" w:type="dxa"/>
          </w:tcPr>
          <w:p w:rsidR="00B47E14" w:rsidRPr="00E44050" w:rsidRDefault="00B47E14" w:rsidP="00611EE7">
            <w:pPr>
              <w:pStyle w:val="NormalWeb"/>
              <w:spacing w:before="120" w:after="120"/>
              <w:jc w:val="both"/>
              <w:rPr>
                <w:color w:val="000000"/>
                <w:sz w:val="28"/>
                <w:szCs w:val="28"/>
              </w:rPr>
            </w:pPr>
            <w:r w:rsidRPr="00FA6214">
              <w:rPr>
                <w:color w:val="000000"/>
                <w:sz w:val="28"/>
                <w:szCs w:val="28"/>
                <w:lang w:val="vi-VN"/>
              </w:rPr>
              <w:t>Quyết định điều chỉnh định mức kinh tế - kỹ thuật trong hoạt động vận hành hệ thống giám sát các nguồn thải trên địa bàn tỉnh Bình Dương</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6</w:t>
            </w:r>
          </w:p>
        </w:tc>
        <w:tc>
          <w:tcPr>
            <w:tcW w:w="13337" w:type="dxa"/>
          </w:tcPr>
          <w:p w:rsidR="00B47E14" w:rsidRPr="00E44050" w:rsidRDefault="00B47E14" w:rsidP="00611EE7">
            <w:pPr>
              <w:pStyle w:val="NormalWeb"/>
              <w:spacing w:before="120" w:after="120"/>
              <w:jc w:val="both"/>
              <w:rPr>
                <w:color w:val="000000"/>
                <w:sz w:val="28"/>
                <w:szCs w:val="28"/>
              </w:rPr>
            </w:pPr>
            <w:r w:rsidRPr="00FA6214">
              <w:rPr>
                <w:color w:val="000000"/>
                <w:sz w:val="28"/>
                <w:szCs w:val="28"/>
              </w:rPr>
              <w:t>Quyết định về việc ban hành đơn giá hoạt động quan trắc và phân tích môi trường trên địa bàn tỉnh Bình Dương</w:t>
            </w:r>
          </w:p>
        </w:tc>
      </w:tr>
      <w:tr w:rsidR="00B47E14" w:rsidRPr="001E17A5" w:rsidTr="00B47E14">
        <w:tc>
          <w:tcPr>
            <w:tcW w:w="696" w:type="dxa"/>
          </w:tcPr>
          <w:p w:rsidR="00B47E14" w:rsidRPr="00B12DA8" w:rsidRDefault="00B47E14" w:rsidP="00611EE7">
            <w:pPr>
              <w:spacing w:before="120" w:after="120"/>
              <w:jc w:val="center"/>
              <w:rPr>
                <w:b/>
                <w:sz w:val="28"/>
                <w:szCs w:val="24"/>
                <w:lang w:val="vi-VN"/>
              </w:rPr>
            </w:pPr>
            <w:r w:rsidRPr="00B12DA8">
              <w:rPr>
                <w:b/>
                <w:sz w:val="28"/>
                <w:szCs w:val="24"/>
                <w:lang w:val="vi-VN"/>
              </w:rPr>
              <w:t>7</w:t>
            </w:r>
          </w:p>
        </w:tc>
        <w:tc>
          <w:tcPr>
            <w:tcW w:w="13337" w:type="dxa"/>
          </w:tcPr>
          <w:p w:rsidR="00B47E14" w:rsidRPr="00E44050" w:rsidRDefault="00B47E14" w:rsidP="00611EE7">
            <w:pPr>
              <w:pStyle w:val="NormalWeb"/>
              <w:spacing w:before="120" w:after="120"/>
              <w:jc w:val="both"/>
              <w:rPr>
                <w:color w:val="000000"/>
                <w:sz w:val="28"/>
                <w:szCs w:val="28"/>
              </w:rPr>
            </w:pPr>
            <w:r w:rsidRPr="00FA6214">
              <w:rPr>
                <w:color w:val="000000"/>
                <w:sz w:val="28"/>
                <w:szCs w:val="28"/>
              </w:rPr>
              <w:t>Quyết định ban hành đơn giá quan trắc tài nguyên nước dưới đất trên địa bàn tỉnh Bình Dương</w:t>
            </w:r>
          </w:p>
        </w:tc>
      </w:tr>
    </w:tbl>
    <w:p w:rsidR="00B47E14" w:rsidRPr="001E17A5" w:rsidRDefault="00B47E14" w:rsidP="00870A9D">
      <w:pPr>
        <w:jc w:val="both"/>
        <w:rPr>
          <w:b/>
          <w:sz w:val="18"/>
          <w:szCs w:val="16"/>
          <w:lang w:val="vi-VN"/>
        </w:rPr>
      </w:pPr>
    </w:p>
    <w:sectPr w:rsidR="00B47E14" w:rsidRPr="001E17A5" w:rsidSect="007106E5">
      <w:pgSz w:w="16838" w:h="11906"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184" w:rsidRDefault="00176184" w:rsidP="005F53FF">
      <w:r>
        <w:separator/>
      </w:r>
    </w:p>
  </w:endnote>
  <w:endnote w:type="continuationSeparator" w:id="0">
    <w:p w:rsidR="00176184" w:rsidRDefault="00176184" w:rsidP="005F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184" w:rsidRDefault="00176184" w:rsidP="005F53FF">
      <w:r>
        <w:separator/>
      </w:r>
    </w:p>
  </w:footnote>
  <w:footnote w:type="continuationSeparator" w:id="0">
    <w:p w:rsidR="00176184" w:rsidRDefault="00176184" w:rsidP="005F53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D1985"/>
    <w:multiLevelType w:val="hybridMultilevel"/>
    <w:tmpl w:val="876A7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99"/>
    <w:rsid w:val="0001433B"/>
    <w:rsid w:val="00030723"/>
    <w:rsid w:val="000340F2"/>
    <w:rsid w:val="0004419D"/>
    <w:rsid w:val="0004537A"/>
    <w:rsid w:val="0007313F"/>
    <w:rsid w:val="000877D9"/>
    <w:rsid w:val="000A779C"/>
    <w:rsid w:val="000B3FAF"/>
    <w:rsid w:val="000C3FCB"/>
    <w:rsid w:val="000C6F97"/>
    <w:rsid w:val="000E6444"/>
    <w:rsid w:val="000E7BDF"/>
    <w:rsid w:val="00147594"/>
    <w:rsid w:val="00165799"/>
    <w:rsid w:val="00176184"/>
    <w:rsid w:val="001B1AB9"/>
    <w:rsid w:val="001C168F"/>
    <w:rsid w:val="001C444F"/>
    <w:rsid w:val="001E17A5"/>
    <w:rsid w:val="00230622"/>
    <w:rsid w:val="002314A9"/>
    <w:rsid w:val="002346B2"/>
    <w:rsid w:val="002458EE"/>
    <w:rsid w:val="00287826"/>
    <w:rsid w:val="002910EA"/>
    <w:rsid w:val="003007EA"/>
    <w:rsid w:val="00360272"/>
    <w:rsid w:val="00365942"/>
    <w:rsid w:val="00367D63"/>
    <w:rsid w:val="003E4298"/>
    <w:rsid w:val="003E6D3E"/>
    <w:rsid w:val="004053A8"/>
    <w:rsid w:val="00405D39"/>
    <w:rsid w:val="0041079C"/>
    <w:rsid w:val="004166CE"/>
    <w:rsid w:val="00421CEF"/>
    <w:rsid w:val="0045423E"/>
    <w:rsid w:val="0045480B"/>
    <w:rsid w:val="00465857"/>
    <w:rsid w:val="00485DB0"/>
    <w:rsid w:val="00492192"/>
    <w:rsid w:val="004A46F2"/>
    <w:rsid w:val="004A7E32"/>
    <w:rsid w:val="00502428"/>
    <w:rsid w:val="00522262"/>
    <w:rsid w:val="005401A1"/>
    <w:rsid w:val="005428E3"/>
    <w:rsid w:val="00554C78"/>
    <w:rsid w:val="00566A00"/>
    <w:rsid w:val="00571A5C"/>
    <w:rsid w:val="005A4A4A"/>
    <w:rsid w:val="005A69A6"/>
    <w:rsid w:val="005B4016"/>
    <w:rsid w:val="005F4718"/>
    <w:rsid w:val="005F53FF"/>
    <w:rsid w:val="0064209C"/>
    <w:rsid w:val="00646C16"/>
    <w:rsid w:val="006A2D7B"/>
    <w:rsid w:val="006A42FB"/>
    <w:rsid w:val="006D3296"/>
    <w:rsid w:val="006E7D28"/>
    <w:rsid w:val="006F2B0F"/>
    <w:rsid w:val="00701AA2"/>
    <w:rsid w:val="007106E5"/>
    <w:rsid w:val="00715E0F"/>
    <w:rsid w:val="00727629"/>
    <w:rsid w:val="00756983"/>
    <w:rsid w:val="0077180A"/>
    <w:rsid w:val="00774ED7"/>
    <w:rsid w:val="00782213"/>
    <w:rsid w:val="00791233"/>
    <w:rsid w:val="007C5199"/>
    <w:rsid w:val="007D2F1B"/>
    <w:rsid w:val="007E0579"/>
    <w:rsid w:val="007F1BF2"/>
    <w:rsid w:val="00810D0F"/>
    <w:rsid w:val="0081526A"/>
    <w:rsid w:val="00825361"/>
    <w:rsid w:val="00870A9D"/>
    <w:rsid w:val="008760CD"/>
    <w:rsid w:val="00885BB8"/>
    <w:rsid w:val="008940C6"/>
    <w:rsid w:val="00897BCE"/>
    <w:rsid w:val="008B2018"/>
    <w:rsid w:val="008C2229"/>
    <w:rsid w:val="008D40E9"/>
    <w:rsid w:val="008D4BEA"/>
    <w:rsid w:val="008D7FB3"/>
    <w:rsid w:val="008E6E98"/>
    <w:rsid w:val="00917990"/>
    <w:rsid w:val="009239DE"/>
    <w:rsid w:val="00927A3C"/>
    <w:rsid w:val="00940AA6"/>
    <w:rsid w:val="009807B4"/>
    <w:rsid w:val="0098556F"/>
    <w:rsid w:val="0098686C"/>
    <w:rsid w:val="009A3B13"/>
    <w:rsid w:val="009C095A"/>
    <w:rsid w:val="009F62B1"/>
    <w:rsid w:val="00A34325"/>
    <w:rsid w:val="00A63D60"/>
    <w:rsid w:val="00A952C3"/>
    <w:rsid w:val="00A9628D"/>
    <w:rsid w:val="00AA1B2F"/>
    <w:rsid w:val="00AE6C20"/>
    <w:rsid w:val="00B0484E"/>
    <w:rsid w:val="00B12DA8"/>
    <w:rsid w:val="00B158C5"/>
    <w:rsid w:val="00B15E99"/>
    <w:rsid w:val="00B34CAB"/>
    <w:rsid w:val="00B47E14"/>
    <w:rsid w:val="00B5081D"/>
    <w:rsid w:val="00B74BE7"/>
    <w:rsid w:val="00B804DD"/>
    <w:rsid w:val="00B83155"/>
    <w:rsid w:val="00BB391D"/>
    <w:rsid w:val="00BC1EDD"/>
    <w:rsid w:val="00BC31DB"/>
    <w:rsid w:val="00BF6BB9"/>
    <w:rsid w:val="00C02D77"/>
    <w:rsid w:val="00C165EB"/>
    <w:rsid w:val="00C17A87"/>
    <w:rsid w:val="00C20BD0"/>
    <w:rsid w:val="00C2423C"/>
    <w:rsid w:val="00C44E7D"/>
    <w:rsid w:val="00C53965"/>
    <w:rsid w:val="00C672D8"/>
    <w:rsid w:val="00C7661E"/>
    <w:rsid w:val="00C77FB0"/>
    <w:rsid w:val="00C815CE"/>
    <w:rsid w:val="00CB0545"/>
    <w:rsid w:val="00CB3923"/>
    <w:rsid w:val="00CE4398"/>
    <w:rsid w:val="00D11D55"/>
    <w:rsid w:val="00D1303B"/>
    <w:rsid w:val="00D33466"/>
    <w:rsid w:val="00D65BF2"/>
    <w:rsid w:val="00DE40D5"/>
    <w:rsid w:val="00DE7019"/>
    <w:rsid w:val="00E26D32"/>
    <w:rsid w:val="00E44050"/>
    <w:rsid w:val="00E61319"/>
    <w:rsid w:val="00E847DA"/>
    <w:rsid w:val="00EF5229"/>
    <w:rsid w:val="00F0277C"/>
    <w:rsid w:val="00F06854"/>
    <w:rsid w:val="00F11BB3"/>
    <w:rsid w:val="00F31CB0"/>
    <w:rsid w:val="00F601AA"/>
    <w:rsid w:val="00F608FE"/>
    <w:rsid w:val="00F849CA"/>
    <w:rsid w:val="00F90BC4"/>
    <w:rsid w:val="00FC654C"/>
    <w:rsid w:val="00FD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0172D-161D-4F0F-81F7-3517DB1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870A9D"/>
    <w:pPr>
      <w:spacing w:line="180" w:lineRule="atLeast"/>
    </w:pPr>
    <w:rPr>
      <w:sz w:val="24"/>
      <w:szCs w:val="24"/>
      <w:lang w:val="x-none" w:eastAsia="x-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Text1,f"/>
    <w:qFormat/>
    <w:rsid w:val="00870A9D"/>
    <w:rPr>
      <w:rFonts w:cs="Times New Roman"/>
      <w:vertAlign w:val="superscript"/>
    </w:rPr>
  </w:style>
  <w:style w:type="character" w:customStyle="1" w:styleId="NormalWebChar">
    <w:name w:val="Normal (Web) Char"/>
    <w:link w:val="NormalWeb"/>
    <w:uiPriority w:val="99"/>
    <w:qFormat/>
    <w:locked/>
    <w:rsid w:val="00870A9D"/>
    <w:rPr>
      <w:rFonts w:ascii="Times New Roman" w:eastAsia="Times New Roman" w:hAnsi="Times New Roman" w:cs="Times New Roman"/>
      <w:sz w:val="24"/>
      <w:szCs w:val="24"/>
      <w:lang w:val="x-none" w:eastAsia="x-none"/>
    </w:rPr>
  </w:style>
  <w:style w:type="paragraph" w:styleId="ListParagraph">
    <w:name w:val="List Paragraph"/>
    <w:aliases w:val="CONTENT,List Paragraph 1,My checklist,N1,lp1,List Paragraph1,lp11,Bullet 1,b1 + Justified,b1,b1 Char,Bullet 11,b1 + Justified1,Bullet 111,b1 + Justified11,List Paragraph Char Char,SGLText List Paragraph,Normal Sentence,Citation List"/>
    <w:basedOn w:val="Normal"/>
    <w:link w:val="ListParagraphChar"/>
    <w:uiPriority w:val="34"/>
    <w:qFormat/>
    <w:rsid w:val="000B3FAF"/>
    <w:pPr>
      <w:ind w:left="720"/>
      <w:contextualSpacing/>
    </w:pPr>
  </w:style>
  <w:style w:type="paragraph" w:styleId="BodyTextIndent3">
    <w:name w:val="Body Text Indent 3"/>
    <w:basedOn w:val="Normal"/>
    <w:link w:val="BodyTextIndent3Char"/>
    <w:rsid w:val="00C672D8"/>
    <w:pPr>
      <w:spacing w:before="60"/>
      <w:ind w:firstLine="360"/>
      <w:jc w:val="both"/>
    </w:pPr>
    <w:rPr>
      <w:bCs/>
      <w:sz w:val="28"/>
      <w:szCs w:val="28"/>
      <w:lang w:val="x-none" w:eastAsia="x-none"/>
    </w:rPr>
  </w:style>
  <w:style w:type="character" w:customStyle="1" w:styleId="BodyTextIndent3Char">
    <w:name w:val="Body Text Indent 3 Char"/>
    <w:basedOn w:val="DefaultParagraphFont"/>
    <w:link w:val="BodyTextIndent3"/>
    <w:rsid w:val="00C672D8"/>
    <w:rPr>
      <w:rFonts w:ascii="Times New Roman" w:eastAsia="Times New Roman" w:hAnsi="Times New Roman" w:cs="Times New Roman"/>
      <w:bCs/>
      <w:sz w:val="28"/>
      <w:szCs w:val="28"/>
      <w:lang w:val="x-none" w:eastAsia="x-none"/>
    </w:rPr>
  </w:style>
  <w:style w:type="paragraph" w:styleId="BalloonText">
    <w:name w:val="Balloon Text"/>
    <w:basedOn w:val="Normal"/>
    <w:link w:val="BalloonTextChar"/>
    <w:uiPriority w:val="99"/>
    <w:semiHidden/>
    <w:unhideWhenUsed/>
    <w:rsid w:val="00F84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9C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F53FF"/>
  </w:style>
  <w:style w:type="character" w:customStyle="1" w:styleId="FootnoteTextChar">
    <w:name w:val="Footnote Text Char"/>
    <w:basedOn w:val="DefaultParagraphFont"/>
    <w:link w:val="FootnoteText"/>
    <w:uiPriority w:val="99"/>
    <w:semiHidden/>
    <w:rsid w:val="005F53FF"/>
    <w:rPr>
      <w:rFonts w:ascii="Times New Roman" w:eastAsia="Times New Roman" w:hAnsi="Times New Roman" w:cs="Times New Roman"/>
      <w:sz w:val="20"/>
      <w:szCs w:val="20"/>
    </w:rPr>
  </w:style>
  <w:style w:type="character" w:customStyle="1" w:styleId="ListParagraphChar">
    <w:name w:val="List Paragraph Char"/>
    <w:aliases w:val="CONTENT Char,List Paragraph 1 Char,My checklist Char,N1 Char,lp1 Char,List Paragraph1 Char,lp11 Char,Bullet 1 Char,b1 + Justified Char,b1 Char1,b1 Char Char,Bullet 11 Char,b1 + Justified1 Char,Bullet 111 Char,b1 + Justified11 Char"/>
    <w:link w:val="ListParagraph"/>
    <w:uiPriority w:val="34"/>
    <w:rsid w:val="007F1B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3640">
      <w:bodyDiv w:val="1"/>
      <w:marLeft w:val="0"/>
      <w:marRight w:val="0"/>
      <w:marTop w:val="0"/>
      <w:marBottom w:val="0"/>
      <w:divBdr>
        <w:top w:val="none" w:sz="0" w:space="0" w:color="auto"/>
        <w:left w:val="none" w:sz="0" w:space="0" w:color="auto"/>
        <w:bottom w:val="none" w:sz="0" w:space="0" w:color="auto"/>
        <w:right w:val="none" w:sz="0" w:space="0" w:color="auto"/>
      </w:divBdr>
    </w:div>
    <w:div w:id="1532836429">
      <w:bodyDiv w:val="1"/>
      <w:marLeft w:val="0"/>
      <w:marRight w:val="0"/>
      <w:marTop w:val="0"/>
      <w:marBottom w:val="0"/>
      <w:divBdr>
        <w:top w:val="none" w:sz="0" w:space="0" w:color="auto"/>
        <w:left w:val="none" w:sz="0" w:space="0" w:color="auto"/>
        <w:bottom w:val="none" w:sz="0" w:space="0" w:color="auto"/>
        <w:right w:val="none" w:sz="0" w:space="0" w:color="auto"/>
      </w:divBdr>
    </w:div>
    <w:div w:id="1568419068">
      <w:bodyDiv w:val="1"/>
      <w:marLeft w:val="0"/>
      <w:marRight w:val="0"/>
      <w:marTop w:val="0"/>
      <w:marBottom w:val="0"/>
      <w:divBdr>
        <w:top w:val="none" w:sz="0" w:space="0" w:color="auto"/>
        <w:left w:val="none" w:sz="0" w:space="0" w:color="auto"/>
        <w:bottom w:val="none" w:sz="0" w:space="0" w:color="auto"/>
        <w:right w:val="none" w:sz="0" w:space="0" w:color="auto"/>
      </w:divBdr>
    </w:div>
    <w:div w:id="16337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D670-58A0-4E88-B5AB-7C0D22A2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Bich. Diep</dc:creator>
  <cp:keywords/>
  <dc:description/>
  <cp:lastModifiedBy>DIEP</cp:lastModifiedBy>
  <cp:revision>110</cp:revision>
  <cp:lastPrinted>2023-11-23T09:53:00Z</cp:lastPrinted>
  <dcterms:created xsi:type="dcterms:W3CDTF">2021-04-01T03:26:00Z</dcterms:created>
  <dcterms:modified xsi:type="dcterms:W3CDTF">2023-11-23T09:54:00Z</dcterms:modified>
</cp:coreProperties>
</file>